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bCs/>
          <w:iCs/>
          <w:color w:val="000000"/>
          <w:sz w:val="24"/>
        </w:rPr>
      </w:pPr>
    </w:p>
    <w:p>
      <w:pPr>
        <w:spacing w:before="156" w:beforeLines="50" w:after="156" w:afterLines="50" w:line="400" w:lineRule="exact"/>
        <w:rPr>
          <w:bCs/>
          <w:iCs/>
          <w:color w:val="000000"/>
          <w:sz w:val="24"/>
        </w:rPr>
      </w:pPr>
      <w:r>
        <w:rPr>
          <w:rFonts w:hint="eastAsia"/>
          <w:bCs/>
          <w:iCs/>
          <w:color w:val="000000"/>
          <w:sz w:val="24"/>
        </w:rPr>
        <w:t>证券代码</w:t>
      </w:r>
      <w:r>
        <w:rPr>
          <w:bCs/>
          <w:iCs/>
          <w:color w:val="000000"/>
          <w:sz w:val="24"/>
        </w:rPr>
        <w:t xml:space="preserve">：002497  </w:t>
      </w:r>
      <w:r>
        <w:rPr>
          <w:rFonts w:hint="eastAsia"/>
          <w:bCs/>
          <w:iCs/>
          <w:color w:val="000000"/>
          <w:sz w:val="24"/>
        </w:rPr>
        <w:t xml:space="preserve">                                证券简称：雅化集团</w:t>
      </w:r>
    </w:p>
    <w:p>
      <w:pPr>
        <w:spacing w:before="156" w:beforeLines="50" w:after="156" w:afterLines="50" w:line="400" w:lineRule="exact"/>
        <w:ind w:firstLine="540" w:firstLineChars="300"/>
        <w:rPr>
          <w:bCs/>
          <w:iCs/>
          <w:color w:val="000000"/>
          <w:sz w:val="18"/>
          <w:szCs w:val="18"/>
        </w:rPr>
      </w:pPr>
    </w:p>
    <w:p>
      <w:pPr>
        <w:spacing w:before="156" w:beforeLines="50" w:after="156" w:afterLines="50" w:line="400" w:lineRule="exact"/>
        <w:ind w:left="-178" w:leftChars="-85"/>
        <w:jc w:val="center"/>
        <w:rPr>
          <w:b/>
          <w:bCs/>
          <w:iCs/>
          <w:color w:val="000000"/>
          <w:sz w:val="32"/>
          <w:szCs w:val="32"/>
        </w:rPr>
      </w:pPr>
      <w:r>
        <w:rPr>
          <w:rFonts w:hint="eastAsia"/>
          <w:b/>
          <w:bCs/>
          <w:iCs/>
          <w:color w:val="000000"/>
          <w:sz w:val="32"/>
          <w:szCs w:val="32"/>
        </w:rPr>
        <w:t>四川雅化实业集团股份有限公司投资者关系活动记录表</w:t>
      </w:r>
    </w:p>
    <w:p>
      <w:pPr>
        <w:spacing w:line="400" w:lineRule="exact"/>
        <w:rPr>
          <w:bCs/>
          <w:iCs/>
          <w:color w:val="000000"/>
          <w:sz w:val="24"/>
        </w:rPr>
      </w:pPr>
      <w:r>
        <w:rPr>
          <w:rFonts w:hint="eastAsia"/>
          <w:bCs/>
          <w:iCs/>
          <w:color w:val="000000"/>
          <w:sz w:val="24"/>
        </w:rPr>
        <w:t xml:space="preserve">                                                        编号：202</w:t>
      </w:r>
      <w:r>
        <w:rPr>
          <w:bCs/>
          <w:iCs/>
          <w:color w:val="000000"/>
          <w:sz w:val="24"/>
        </w:rPr>
        <w:t>20610</w:t>
      </w:r>
    </w:p>
    <w:tbl>
      <w:tblPr>
        <w:tblStyle w:val="7"/>
        <w:tblW w:w="10275"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9" w:hRule="atLeast"/>
        </w:trPr>
        <w:tc>
          <w:tcPr>
            <w:tcW w:w="1262"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
                <w:bCs/>
                <w:iCs/>
                <w:color w:val="000000"/>
                <w:sz w:val="24"/>
              </w:rPr>
            </w:pPr>
            <w:r>
              <w:rPr>
                <w:rFonts w:hint="eastAsia"/>
                <w:b/>
                <w:bCs/>
                <w:iCs/>
                <w:color w:val="000000"/>
                <w:sz w:val="24"/>
              </w:rPr>
              <w:t>投资者关系活动类别</w:t>
            </w:r>
          </w:p>
        </w:tc>
        <w:tc>
          <w:tcPr>
            <w:tcW w:w="9013" w:type="dxa"/>
            <w:tcBorders>
              <w:top w:val="single" w:color="auto" w:sz="4" w:space="0"/>
              <w:left w:val="single" w:color="auto" w:sz="4" w:space="0"/>
              <w:bottom w:val="single" w:color="auto" w:sz="4" w:space="0"/>
              <w:right w:val="single" w:color="auto" w:sz="4" w:space="0"/>
            </w:tcBorders>
            <w:vAlign w:val="center"/>
          </w:tcPr>
          <w:p>
            <w:pPr>
              <w:spacing w:line="480" w:lineRule="atLeast"/>
              <w:rPr>
                <w:color w:val="000000"/>
                <w:sz w:val="24"/>
              </w:rPr>
            </w:pPr>
            <w:r>
              <w:rPr>
                <w:rFonts w:hint="eastAsia"/>
                <w:color w:val="000000"/>
                <w:sz w:val="24"/>
              </w:rPr>
              <w:t>√特定对象调研        □分析师会议</w:t>
            </w:r>
          </w:p>
          <w:p>
            <w:pPr>
              <w:spacing w:line="480" w:lineRule="atLeast"/>
              <w:rPr>
                <w:color w:val="000000"/>
                <w:sz w:val="24"/>
              </w:rPr>
            </w:pPr>
            <w:r>
              <w:rPr>
                <w:rFonts w:hint="eastAsia"/>
                <w:color w:val="000000"/>
                <w:sz w:val="24"/>
              </w:rPr>
              <w:t>□媒体采访            □业绩说明会</w:t>
            </w:r>
          </w:p>
          <w:p>
            <w:pPr>
              <w:spacing w:line="480" w:lineRule="atLeast"/>
              <w:rPr>
                <w:color w:val="000000"/>
                <w:sz w:val="24"/>
              </w:rPr>
            </w:pPr>
            <w:r>
              <w:rPr>
                <w:rFonts w:hint="eastAsia"/>
                <w:color w:val="000000"/>
                <w:sz w:val="24"/>
              </w:rPr>
              <w:t>□新闻发布会          □路演活动</w:t>
            </w:r>
          </w:p>
          <w:p>
            <w:pPr>
              <w:tabs>
                <w:tab w:val="left" w:pos="3045"/>
                <w:tab w:val="center" w:pos="3199"/>
              </w:tabs>
              <w:spacing w:line="480" w:lineRule="atLeast"/>
              <w:rPr>
                <w:color w:val="000000"/>
                <w:sz w:val="24"/>
              </w:rPr>
            </w:pPr>
            <w:r>
              <w:rPr>
                <w:rFonts w:hint="eastAsia"/>
                <w:color w:val="000000"/>
                <w:sz w:val="24"/>
              </w:rPr>
              <w:t>□现场参观</w:t>
            </w:r>
            <w:r>
              <w:rPr>
                <w:rFonts w:hint="eastAsia"/>
                <w:color w:val="000000"/>
                <w:sz w:val="24"/>
              </w:rPr>
              <w:tab/>
            </w:r>
          </w:p>
          <w:p>
            <w:pPr>
              <w:tabs>
                <w:tab w:val="center" w:pos="3199"/>
              </w:tabs>
              <w:spacing w:line="480" w:lineRule="atLeast"/>
              <w:rPr>
                <w:sz w:val="24"/>
              </w:rPr>
            </w:pPr>
            <w:r>
              <w:rPr>
                <w:rFonts w:hint="eastAsia"/>
                <w:color w:val="000000"/>
                <w:sz w:val="24"/>
              </w:rPr>
              <w:t>□其他 （请文字说明其他活动内容）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13" w:hRule="atLeast"/>
        </w:trPr>
        <w:tc>
          <w:tcPr>
            <w:tcW w:w="1262"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
                <w:bCs/>
                <w:iCs/>
                <w:color w:val="000000"/>
                <w:sz w:val="24"/>
              </w:rPr>
            </w:pPr>
            <w:r>
              <w:rPr>
                <w:rFonts w:hint="eastAsia"/>
                <w:b/>
                <w:bCs/>
                <w:iCs/>
                <w:color w:val="000000"/>
                <w:sz w:val="24"/>
              </w:rPr>
              <w:t>参与单位名称及人员姓名</w:t>
            </w:r>
          </w:p>
        </w:tc>
        <w:tc>
          <w:tcPr>
            <w:tcW w:w="9013"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color w:val="000000"/>
                <w:sz w:val="24"/>
              </w:rPr>
            </w:pPr>
            <w:r>
              <w:rPr>
                <w:rFonts w:hint="eastAsia"/>
                <w:color w:val="000000"/>
                <w:sz w:val="24"/>
              </w:rPr>
              <w:t>国金证券：焦鹏飞、阮亚琦、李育开</w:t>
            </w:r>
          </w:p>
          <w:p>
            <w:pPr>
              <w:spacing w:line="480" w:lineRule="atLeast"/>
              <w:rPr>
                <w:rFonts w:hint="eastAsia"/>
                <w:color w:val="000000"/>
                <w:sz w:val="24"/>
              </w:rPr>
            </w:pPr>
            <w:r>
              <w:rPr>
                <w:rFonts w:hint="eastAsia"/>
                <w:color w:val="000000"/>
                <w:sz w:val="24"/>
              </w:rPr>
              <w:t>四川投资基金协会：刘茜茜、付伟伦、张宇</w:t>
            </w:r>
          </w:p>
          <w:p>
            <w:pPr>
              <w:spacing w:line="480" w:lineRule="atLeast"/>
              <w:rPr>
                <w:rFonts w:hint="eastAsia"/>
                <w:color w:val="000000"/>
                <w:sz w:val="24"/>
              </w:rPr>
            </w:pPr>
            <w:r>
              <w:rPr>
                <w:rFonts w:hint="eastAsia"/>
                <w:color w:val="000000"/>
                <w:sz w:val="24"/>
              </w:rPr>
              <w:t>致合资管：朱晟辅、沈艳、张傲亮、王仲科</w:t>
            </w:r>
          </w:p>
          <w:p>
            <w:pPr>
              <w:spacing w:line="480" w:lineRule="atLeast"/>
              <w:rPr>
                <w:rFonts w:hint="eastAsia"/>
                <w:color w:val="000000"/>
                <w:sz w:val="24"/>
              </w:rPr>
            </w:pPr>
            <w:r>
              <w:rPr>
                <w:rFonts w:hint="eastAsia"/>
                <w:color w:val="000000"/>
                <w:sz w:val="24"/>
              </w:rPr>
              <w:t xml:space="preserve">兴业银行：尹敬 </w:t>
            </w:r>
            <w:r>
              <w:rPr>
                <w:color w:val="000000"/>
                <w:sz w:val="24"/>
              </w:rPr>
              <w:t xml:space="preserve">    </w:t>
            </w:r>
            <w:r>
              <w:rPr>
                <w:rFonts w:hint="eastAsia"/>
                <w:color w:val="000000"/>
                <w:sz w:val="24"/>
              </w:rPr>
              <w:t xml:space="preserve">           华福证券：颜冰、苏姝 </w:t>
            </w:r>
            <w:r>
              <w:rPr>
                <w:color w:val="000000"/>
                <w:sz w:val="24"/>
              </w:rPr>
              <w:t xml:space="preserve">  </w:t>
            </w:r>
          </w:p>
          <w:p>
            <w:pPr>
              <w:spacing w:line="480" w:lineRule="atLeast"/>
              <w:rPr>
                <w:rFonts w:hint="eastAsia"/>
                <w:color w:val="000000"/>
                <w:sz w:val="24"/>
              </w:rPr>
            </w:pPr>
            <w:r>
              <w:rPr>
                <w:rFonts w:hint="eastAsia"/>
                <w:color w:val="000000"/>
                <w:sz w:val="24"/>
              </w:rPr>
              <w:t xml:space="preserve">珠江投资：王钟杨 </w:t>
            </w:r>
            <w:r>
              <w:rPr>
                <w:color w:val="000000"/>
                <w:sz w:val="24"/>
              </w:rPr>
              <w:t xml:space="preserve">  </w:t>
            </w:r>
            <w:r>
              <w:rPr>
                <w:rFonts w:hint="eastAsia"/>
                <w:color w:val="000000"/>
                <w:sz w:val="24"/>
              </w:rPr>
              <w:t xml:space="preserve">           成都鼎兴量子：胡旭 </w:t>
            </w:r>
            <w:r>
              <w:rPr>
                <w:color w:val="000000"/>
                <w:sz w:val="24"/>
              </w:rPr>
              <w:t xml:space="preserve">     </w:t>
            </w:r>
          </w:p>
          <w:p>
            <w:pPr>
              <w:spacing w:line="480" w:lineRule="atLeast"/>
              <w:rPr>
                <w:rFonts w:hint="eastAsia"/>
                <w:color w:val="000000"/>
                <w:sz w:val="24"/>
              </w:rPr>
            </w:pPr>
            <w:r>
              <w:rPr>
                <w:rFonts w:hint="eastAsia"/>
                <w:color w:val="000000"/>
                <w:sz w:val="24"/>
              </w:rPr>
              <w:t xml:space="preserve">成渝基金：周佳俊 </w:t>
            </w:r>
            <w:r>
              <w:rPr>
                <w:color w:val="000000"/>
                <w:sz w:val="24"/>
              </w:rPr>
              <w:t xml:space="preserve">  </w:t>
            </w:r>
            <w:r>
              <w:rPr>
                <w:rFonts w:hint="eastAsia"/>
                <w:color w:val="000000"/>
                <w:sz w:val="24"/>
              </w:rPr>
              <w:t xml:space="preserve">           菁英时代：吴小红 </w:t>
            </w:r>
            <w:r>
              <w:rPr>
                <w:color w:val="000000"/>
                <w:sz w:val="24"/>
              </w:rPr>
              <w:t xml:space="preserve">  </w:t>
            </w:r>
          </w:p>
          <w:p>
            <w:pPr>
              <w:spacing w:line="480" w:lineRule="atLeast"/>
              <w:rPr>
                <w:color w:val="000000"/>
                <w:sz w:val="24"/>
              </w:rPr>
            </w:pPr>
            <w:r>
              <w:rPr>
                <w:rFonts w:hint="eastAsia"/>
                <w:color w:val="000000"/>
                <w:sz w:val="24"/>
              </w:rPr>
              <w:t xml:space="preserve">富业盛德资产：魏宏伟 </w:t>
            </w:r>
            <w:r>
              <w:rPr>
                <w:color w:val="000000"/>
                <w:sz w:val="24"/>
              </w:rPr>
              <w:t xml:space="preserve">   </w:t>
            </w:r>
            <w:r>
              <w:rPr>
                <w:rFonts w:hint="eastAsia"/>
                <w:color w:val="000000"/>
                <w:sz w:val="24"/>
              </w:rPr>
              <w:t xml:space="preserve">      诺安资本：刘洪睿 </w:t>
            </w:r>
            <w:r>
              <w:rPr>
                <w:color w:val="000000"/>
                <w:sz w:val="24"/>
              </w:rPr>
              <w:t xml:space="preserve">  </w:t>
            </w:r>
          </w:p>
          <w:p>
            <w:pPr>
              <w:spacing w:line="480" w:lineRule="atLeast"/>
              <w:rPr>
                <w:rFonts w:hint="eastAsia"/>
                <w:color w:val="000000"/>
                <w:sz w:val="24"/>
              </w:rPr>
            </w:pPr>
            <w:r>
              <w:rPr>
                <w:rFonts w:hint="eastAsia"/>
                <w:color w:val="000000"/>
                <w:sz w:val="24"/>
              </w:rPr>
              <w:t xml:space="preserve">松华资产：张如航              胤盛资产：闵金鑫 </w:t>
            </w:r>
            <w:r>
              <w:rPr>
                <w:color w:val="000000"/>
                <w:sz w:val="24"/>
              </w:rPr>
              <w:t xml:space="preserve">  </w:t>
            </w:r>
          </w:p>
          <w:p>
            <w:pPr>
              <w:spacing w:line="480" w:lineRule="atLeast"/>
              <w:rPr>
                <w:color w:val="000000"/>
                <w:sz w:val="24"/>
              </w:rPr>
            </w:pPr>
            <w:r>
              <w:rPr>
                <w:rFonts w:hint="eastAsia"/>
                <w:color w:val="000000"/>
                <w:sz w:val="24"/>
              </w:rPr>
              <w:t xml:space="preserve">中汇联洋资管：赵斌 </w:t>
            </w:r>
            <w:r>
              <w:rPr>
                <w:color w:val="000000"/>
                <w:sz w:val="24"/>
              </w:rPr>
              <w:t xml:space="preserve">     </w:t>
            </w:r>
            <w:r>
              <w:rPr>
                <w:rFonts w:hint="eastAsia"/>
                <w:color w:val="000000"/>
                <w:sz w:val="24"/>
              </w:rPr>
              <w:t xml:space="preserve">      凯普乐资产：张文浩 </w:t>
            </w:r>
            <w:r>
              <w:rPr>
                <w:color w:val="000000"/>
                <w:sz w:val="24"/>
              </w:rPr>
              <w:t xml:space="preserve">  </w:t>
            </w:r>
          </w:p>
          <w:p>
            <w:pPr>
              <w:spacing w:line="480" w:lineRule="atLeast"/>
              <w:rPr>
                <w:rFonts w:hint="eastAsia"/>
                <w:color w:val="000000"/>
                <w:sz w:val="24"/>
              </w:rPr>
            </w:pPr>
            <w:r>
              <w:rPr>
                <w:rFonts w:hint="eastAsia"/>
                <w:color w:val="000000"/>
                <w:sz w:val="24"/>
              </w:rPr>
              <w:t xml:space="preserve">照月投资：吴昊 </w:t>
            </w:r>
            <w:r>
              <w:rPr>
                <w:color w:val="000000"/>
                <w:sz w:val="24"/>
              </w:rPr>
              <w:t xml:space="preserve">    </w:t>
            </w:r>
            <w:r>
              <w:rPr>
                <w:rFonts w:hint="eastAsia"/>
                <w:color w:val="000000"/>
                <w:sz w:val="24"/>
              </w:rPr>
              <w:t xml:space="preserve">           合赢融通投资：尤其良 </w:t>
            </w:r>
            <w:r>
              <w:rPr>
                <w:color w:val="000000"/>
                <w:sz w:val="24"/>
              </w:rPr>
              <w:t xml:space="preserve">   </w:t>
            </w:r>
          </w:p>
          <w:p>
            <w:pPr>
              <w:spacing w:line="480" w:lineRule="atLeast"/>
              <w:rPr>
                <w:color w:val="000000"/>
                <w:sz w:val="24"/>
              </w:rPr>
            </w:pPr>
            <w:r>
              <w:rPr>
                <w:rFonts w:hint="eastAsia"/>
                <w:color w:val="000000"/>
                <w:sz w:val="24"/>
              </w:rPr>
              <w:t>国福恒新：李颜、朱鹏威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8" w:hRule="atLeast"/>
        </w:trPr>
        <w:tc>
          <w:tcPr>
            <w:tcW w:w="1262"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
                <w:bCs/>
                <w:iCs/>
                <w:color w:val="000000"/>
                <w:sz w:val="24"/>
              </w:rPr>
            </w:pPr>
            <w:r>
              <w:rPr>
                <w:rFonts w:hint="eastAsia"/>
                <w:b/>
                <w:bCs/>
                <w:iCs/>
                <w:color w:val="000000"/>
                <w:sz w:val="24"/>
              </w:rPr>
              <w:t>时间</w:t>
            </w:r>
          </w:p>
        </w:tc>
        <w:tc>
          <w:tcPr>
            <w:tcW w:w="9013" w:type="dxa"/>
            <w:tcBorders>
              <w:top w:val="single" w:color="auto" w:sz="4" w:space="0"/>
              <w:left w:val="single" w:color="auto" w:sz="4" w:space="0"/>
              <w:bottom w:val="single" w:color="auto" w:sz="4" w:space="0"/>
              <w:right w:val="single" w:color="auto" w:sz="4" w:space="0"/>
            </w:tcBorders>
            <w:vAlign w:val="center"/>
          </w:tcPr>
          <w:p>
            <w:pPr>
              <w:spacing w:line="480" w:lineRule="atLeast"/>
              <w:rPr>
                <w:color w:val="000000"/>
                <w:sz w:val="24"/>
              </w:rPr>
            </w:pPr>
            <w:r>
              <w:rPr>
                <w:rFonts w:hint="eastAsia"/>
                <w:color w:val="000000"/>
                <w:sz w:val="24"/>
              </w:rPr>
              <w:t>202</w:t>
            </w:r>
            <w:r>
              <w:rPr>
                <w:color w:val="000000"/>
                <w:sz w:val="24"/>
              </w:rPr>
              <w:t>2年6月10</w:t>
            </w:r>
            <w:r>
              <w:rPr>
                <w:rFonts w:hint="eastAsia"/>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1262"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
                <w:bCs/>
                <w:iCs/>
                <w:color w:val="000000"/>
                <w:sz w:val="24"/>
              </w:rPr>
            </w:pPr>
            <w:r>
              <w:rPr>
                <w:rFonts w:hint="eastAsia"/>
                <w:b/>
                <w:bCs/>
                <w:iCs/>
                <w:color w:val="000000"/>
                <w:sz w:val="24"/>
              </w:rPr>
              <w:t>地点</w:t>
            </w:r>
          </w:p>
        </w:tc>
        <w:tc>
          <w:tcPr>
            <w:tcW w:w="9013" w:type="dxa"/>
            <w:tcBorders>
              <w:top w:val="single" w:color="auto" w:sz="4" w:space="0"/>
              <w:left w:val="single" w:color="auto" w:sz="4" w:space="0"/>
              <w:bottom w:val="single" w:color="auto" w:sz="4" w:space="0"/>
              <w:right w:val="single" w:color="auto" w:sz="4" w:space="0"/>
            </w:tcBorders>
            <w:vAlign w:val="center"/>
          </w:tcPr>
          <w:p>
            <w:pPr>
              <w:spacing w:line="480" w:lineRule="atLeast"/>
              <w:rPr>
                <w:color w:val="000000"/>
                <w:sz w:val="24"/>
              </w:rPr>
            </w:pPr>
            <w:r>
              <w:rPr>
                <w:rFonts w:hint="eastAsia"/>
                <w:color w:val="000000"/>
                <w:sz w:val="24"/>
              </w:rPr>
              <w:t>四川雅化实业</w:t>
            </w:r>
            <w:r>
              <w:rPr>
                <w:color w:val="000000"/>
                <w:sz w:val="24"/>
              </w:rPr>
              <w:t>集团运输</w:t>
            </w:r>
            <w:r>
              <w:rPr>
                <w:rFonts w:hint="eastAsia"/>
                <w:color w:val="000000"/>
                <w:sz w:val="24"/>
              </w:rPr>
              <w:t>有限公司</w:t>
            </w:r>
            <w:r>
              <w:rPr>
                <w:color w:val="000000"/>
                <w:sz w:val="24"/>
              </w:rPr>
              <w:t>16</w:t>
            </w:r>
            <w:r>
              <w:rPr>
                <w:rFonts w:hint="eastAsia"/>
                <w:color w:val="000000"/>
                <w:sz w:val="24"/>
              </w:rPr>
              <w:t>楼会议室（四川省成都市高新区天府四街</w:t>
            </w:r>
            <w:r>
              <w:rPr>
                <w:color w:val="000000"/>
                <w:sz w:val="24"/>
              </w:rPr>
              <w:t>66</w:t>
            </w:r>
            <w:r>
              <w:rPr>
                <w:rFonts w:hint="eastAsia"/>
                <w:color w:val="000000"/>
                <w:sz w:val="24"/>
              </w:rPr>
              <w:t>号航兴国际广场</w:t>
            </w:r>
            <w:r>
              <w:rPr>
                <w:color w:val="000000"/>
                <w:sz w:val="24"/>
              </w:rPr>
              <w:t>1</w:t>
            </w:r>
            <w:r>
              <w:rPr>
                <w:rFonts w:hint="eastAsia"/>
                <w:color w:val="000000"/>
                <w:sz w:val="24"/>
              </w:rPr>
              <w:t>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262"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
                <w:bCs/>
                <w:iCs/>
                <w:color w:val="000000"/>
                <w:sz w:val="24"/>
              </w:rPr>
            </w:pPr>
            <w:r>
              <w:rPr>
                <w:rFonts w:hint="eastAsia"/>
                <w:b/>
                <w:bCs/>
                <w:iCs/>
                <w:color w:val="000000"/>
                <w:sz w:val="24"/>
              </w:rPr>
              <w:t>上市公司接待人员姓名</w:t>
            </w:r>
          </w:p>
        </w:tc>
        <w:tc>
          <w:tcPr>
            <w:tcW w:w="9013" w:type="dxa"/>
            <w:tcBorders>
              <w:top w:val="single" w:color="auto" w:sz="4" w:space="0"/>
              <w:left w:val="single" w:color="auto" w:sz="4" w:space="0"/>
              <w:bottom w:val="single" w:color="auto" w:sz="4" w:space="0"/>
              <w:right w:val="single" w:color="auto" w:sz="4" w:space="0"/>
            </w:tcBorders>
            <w:vAlign w:val="center"/>
          </w:tcPr>
          <w:p>
            <w:pPr>
              <w:spacing w:line="480" w:lineRule="atLeast"/>
              <w:jc w:val="left"/>
              <w:rPr>
                <w:bCs/>
                <w:iCs/>
                <w:color w:val="000000"/>
                <w:kern w:val="0"/>
                <w:sz w:val="24"/>
              </w:rPr>
            </w:pPr>
            <w:r>
              <w:rPr>
                <w:rFonts w:hint="eastAsia"/>
                <w:bCs/>
                <w:iCs/>
                <w:color w:val="000000"/>
                <w:kern w:val="0"/>
                <w:sz w:val="24"/>
              </w:rPr>
              <w:t>董事、董事会秘书：翟雄鹰</w:t>
            </w:r>
          </w:p>
          <w:p>
            <w:pPr>
              <w:spacing w:line="480" w:lineRule="atLeast"/>
              <w:jc w:val="left"/>
              <w:rPr>
                <w:bCs/>
                <w:iCs/>
                <w:color w:val="000000"/>
                <w:kern w:val="0"/>
                <w:sz w:val="24"/>
              </w:rPr>
            </w:pPr>
            <w:r>
              <w:rPr>
                <w:bCs/>
                <w:iCs/>
                <w:color w:val="000000"/>
                <w:kern w:val="0"/>
                <w:sz w:val="24"/>
              </w:rPr>
              <w:t>董办主任</w:t>
            </w:r>
            <w:r>
              <w:rPr>
                <w:rFonts w:hint="eastAsia"/>
                <w:bCs/>
                <w:iCs/>
                <w:color w:val="000000"/>
                <w:kern w:val="0"/>
                <w:sz w:val="24"/>
              </w:rPr>
              <w:t>、</w:t>
            </w:r>
            <w:r>
              <w:rPr>
                <w:bCs/>
                <w:iCs/>
                <w:color w:val="000000"/>
                <w:kern w:val="0"/>
                <w:sz w:val="24"/>
              </w:rPr>
              <w:t>证代</w:t>
            </w:r>
            <w:r>
              <w:rPr>
                <w:rFonts w:hint="eastAsia"/>
                <w:bCs/>
                <w:iCs/>
                <w:color w:val="000000"/>
                <w:kern w:val="0"/>
                <w:sz w:val="24"/>
              </w:rPr>
              <w:t>：</w:t>
            </w:r>
            <w:r>
              <w:rPr>
                <w:bCs/>
                <w:iCs/>
                <w:color w:val="000000"/>
                <w:kern w:val="0"/>
                <w:sz w:val="24"/>
              </w:rPr>
              <w:t>郑璐</w:t>
            </w:r>
          </w:p>
          <w:p>
            <w:pPr>
              <w:spacing w:line="480" w:lineRule="atLeast"/>
              <w:jc w:val="left"/>
              <w:rPr>
                <w:bCs/>
                <w:iCs/>
                <w:color w:val="000000"/>
                <w:kern w:val="0"/>
                <w:sz w:val="24"/>
              </w:rPr>
            </w:pPr>
            <w:r>
              <w:rPr>
                <w:rFonts w:hint="eastAsia"/>
                <w:bCs/>
                <w:iCs/>
                <w:color w:val="000000"/>
                <w:kern w:val="0"/>
                <w:sz w:val="24"/>
              </w:rPr>
              <w:t>证券事务管理：张龙艳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8" w:hRule="atLeast"/>
        </w:trPr>
        <w:tc>
          <w:tcPr>
            <w:tcW w:w="1262" w:type="dxa"/>
            <w:tcBorders>
              <w:top w:val="single" w:color="auto" w:sz="4" w:space="0"/>
              <w:left w:val="single" w:color="auto" w:sz="4" w:space="0"/>
              <w:right w:val="single" w:color="auto" w:sz="4" w:space="0"/>
            </w:tcBorders>
            <w:vAlign w:val="center"/>
          </w:tcPr>
          <w:p>
            <w:pPr>
              <w:spacing w:line="480" w:lineRule="atLeast"/>
              <w:ind w:firstLine="115" w:firstLineChars="48"/>
              <w:rPr>
                <w:b/>
                <w:bCs/>
                <w:iCs/>
                <w:color w:val="000000"/>
                <w:sz w:val="24"/>
              </w:rPr>
            </w:pPr>
            <w:r>
              <w:rPr>
                <w:rFonts w:hint="eastAsia"/>
                <w:b/>
                <w:bCs/>
                <w:iCs/>
                <w:color w:val="000000"/>
                <w:sz w:val="24"/>
              </w:rPr>
              <w:t>投资者</w:t>
            </w:r>
          </w:p>
          <w:p>
            <w:pPr>
              <w:spacing w:line="480" w:lineRule="atLeast"/>
              <w:jc w:val="center"/>
              <w:rPr>
                <w:b/>
                <w:bCs/>
                <w:iCs/>
                <w:color w:val="000000"/>
                <w:sz w:val="24"/>
              </w:rPr>
            </w:pPr>
            <w:r>
              <w:rPr>
                <w:rFonts w:hint="eastAsia"/>
                <w:b/>
                <w:bCs/>
                <w:iCs/>
                <w:color w:val="000000"/>
                <w:sz w:val="24"/>
              </w:rPr>
              <w:t>关系活动主要内容介绍</w:t>
            </w:r>
          </w:p>
        </w:tc>
        <w:tc>
          <w:tcPr>
            <w:tcW w:w="9013" w:type="dxa"/>
            <w:tcBorders>
              <w:top w:val="single" w:color="auto" w:sz="4" w:space="0"/>
              <w:left w:val="single" w:color="auto" w:sz="4" w:space="0"/>
              <w:right w:val="single" w:color="auto" w:sz="4" w:space="0"/>
            </w:tcBorders>
          </w:tcPr>
          <w:p>
            <w:pPr>
              <w:ind w:firstLine="480" w:firstLineChars="200"/>
              <w:rPr>
                <w:rFonts w:eastAsiaTheme="minorEastAsia"/>
                <w:b/>
                <w:color w:val="000000"/>
                <w:kern w:val="0"/>
                <w:sz w:val="24"/>
              </w:rPr>
            </w:pPr>
            <w:r>
              <w:rPr>
                <w:rFonts w:hint="eastAsia" w:eastAsiaTheme="minorEastAsia"/>
                <w:b/>
                <w:color w:val="000000"/>
                <w:kern w:val="0"/>
                <w:sz w:val="24"/>
              </w:rPr>
              <w:t>一、公司两大主业情况介绍</w:t>
            </w:r>
          </w:p>
          <w:p>
            <w:pPr>
              <w:ind w:firstLine="480" w:firstLineChars="200"/>
              <w:rPr>
                <w:rFonts w:eastAsiaTheme="minorEastAsia"/>
                <w:kern w:val="0"/>
                <w:sz w:val="24"/>
              </w:rPr>
            </w:pPr>
            <w:r>
              <w:rPr>
                <w:rFonts w:eastAsiaTheme="minorEastAsia"/>
                <w:kern w:val="0"/>
                <w:sz w:val="24"/>
              </w:rPr>
              <w:t>1</w:t>
            </w:r>
            <w:r>
              <w:rPr>
                <w:rFonts w:hint="eastAsia" w:eastAsiaTheme="minorEastAsia"/>
                <w:kern w:val="0"/>
                <w:sz w:val="24"/>
              </w:rPr>
              <w:t>、民爆业务</w:t>
            </w:r>
          </w:p>
          <w:p>
            <w:pPr>
              <w:ind w:firstLine="480" w:firstLineChars="200"/>
              <w:rPr>
                <w:rFonts w:eastAsiaTheme="minorEastAsia"/>
                <w:kern w:val="0"/>
                <w:sz w:val="24"/>
              </w:rPr>
            </w:pPr>
            <w:r>
              <w:rPr>
                <w:rFonts w:hint="eastAsia" w:eastAsiaTheme="minorEastAsia"/>
                <w:kern w:val="0"/>
                <w:sz w:val="24"/>
              </w:rPr>
              <w:t>通过近年来的前瞻布局，公司在未来民爆需求最旺盛的中西部以及内蒙、山西、云南、吉林等区域均有产业与市场布局。在产品销售市场不断拓展的同时，公司还将继续推进爆破业务和砂石骨料业务的可持续发展，不断巩固在民爆产业的领先地位。随着各地重点工程项目的复工、川藏铁路的继续建设，国家加大基建投入带来的各重大项目陆续实施以及行业电子雷管的逐步推广，未来将对民爆产业带来较大的发展机会。</w:t>
            </w:r>
          </w:p>
          <w:p>
            <w:pPr>
              <w:ind w:firstLine="480" w:firstLineChars="200"/>
              <w:rPr>
                <w:rFonts w:eastAsiaTheme="minorEastAsia"/>
                <w:kern w:val="0"/>
                <w:sz w:val="24"/>
              </w:rPr>
            </w:pPr>
            <w:r>
              <w:rPr>
                <w:rFonts w:eastAsiaTheme="minorEastAsia"/>
                <w:kern w:val="0"/>
                <w:sz w:val="24"/>
              </w:rPr>
              <w:t>2</w:t>
            </w:r>
            <w:r>
              <w:rPr>
                <w:rFonts w:hint="eastAsia" w:eastAsiaTheme="minorEastAsia"/>
                <w:kern w:val="0"/>
                <w:sz w:val="24"/>
              </w:rPr>
              <w:t>、锂业务</w:t>
            </w:r>
          </w:p>
          <w:p>
            <w:pPr>
              <w:ind w:firstLine="480" w:firstLineChars="200"/>
              <w:rPr>
                <w:rFonts w:eastAsiaTheme="minorEastAsia"/>
                <w:kern w:val="0"/>
                <w:sz w:val="24"/>
              </w:rPr>
            </w:pPr>
            <w:r>
              <w:rPr>
                <w:rFonts w:hint="eastAsia" w:eastAsiaTheme="minorEastAsia"/>
                <w:kern w:val="0"/>
                <w:sz w:val="24"/>
              </w:rPr>
              <w:t>公司于</w:t>
            </w:r>
            <w:r>
              <w:rPr>
                <w:rFonts w:eastAsiaTheme="minorEastAsia"/>
                <w:kern w:val="0"/>
                <w:sz w:val="24"/>
              </w:rPr>
              <w:t>2013</w:t>
            </w:r>
            <w:r>
              <w:rPr>
                <w:rFonts w:hint="eastAsia" w:eastAsiaTheme="minorEastAsia"/>
                <w:kern w:val="0"/>
                <w:sz w:val="24"/>
              </w:rPr>
              <w:t>年通过参股国理公司进入锂产业，目前拥有国理公司、兴晟锂业、雅安锂业和锂业科技四家锂产业公司。公司专注于氢氧化锂的研发、生产和销售，同时配有碳酸锂产能，生产工艺水平和装备技术水平处于行业前列。公司在多年的生产实践中积淀了大量的工艺诀窍和技术诀窍，确保了产品质量持续稳定，与国内外头部正极材料企业、电池厂商及车企建立了良好的合作关系。</w:t>
            </w:r>
          </w:p>
          <w:p>
            <w:pPr>
              <w:ind w:firstLine="480" w:firstLineChars="200"/>
              <w:rPr>
                <w:rFonts w:hint="eastAsia" w:eastAsiaTheme="minorEastAsia"/>
                <w:kern w:val="0"/>
                <w:sz w:val="24"/>
              </w:rPr>
            </w:pPr>
            <w:r>
              <w:rPr>
                <w:rFonts w:hint="eastAsia" w:eastAsiaTheme="minorEastAsia"/>
                <w:kern w:val="0"/>
                <w:sz w:val="24"/>
              </w:rPr>
              <w:t>公司两大主业相辅相成，互为支撑。在民爆板块积累的行业并购整合经验以及具有雅化特色的管控模式可以辐射到锂业板块，形成管理协同效应；民爆板块具有稳定的现金流，有较强的抗风险能力；公司锂板块在民爆板块的支撑下，更能享受到长周期的成长。</w:t>
            </w:r>
          </w:p>
          <w:p>
            <w:pPr>
              <w:ind w:firstLine="480" w:firstLineChars="200"/>
              <w:rPr>
                <w:rFonts w:hint="eastAsia" w:eastAsiaTheme="minorEastAsia"/>
                <w:kern w:val="0"/>
                <w:sz w:val="24"/>
              </w:rPr>
            </w:pPr>
          </w:p>
          <w:p>
            <w:pPr>
              <w:ind w:firstLine="480" w:firstLineChars="200"/>
              <w:rPr>
                <w:rFonts w:hint="eastAsia" w:eastAsiaTheme="minorEastAsia"/>
                <w:b/>
                <w:kern w:val="0"/>
                <w:sz w:val="24"/>
              </w:rPr>
            </w:pPr>
            <w:r>
              <w:rPr>
                <w:rFonts w:hint="eastAsia" w:eastAsiaTheme="minorEastAsia"/>
                <w:b/>
                <w:kern w:val="0"/>
                <w:sz w:val="24"/>
              </w:rPr>
              <w:t>二、行业电子雷管替换情况</w:t>
            </w:r>
          </w:p>
          <w:p>
            <w:pPr>
              <w:ind w:firstLine="480" w:firstLineChars="200"/>
              <w:rPr>
                <w:rFonts w:hint="eastAsia" w:eastAsiaTheme="minorEastAsia"/>
                <w:kern w:val="0"/>
                <w:sz w:val="24"/>
              </w:rPr>
            </w:pPr>
            <w:r>
              <w:rPr>
                <w:rFonts w:hint="eastAsia" w:eastAsiaTheme="minorEastAsia"/>
                <w:kern w:val="0"/>
                <w:sz w:val="24"/>
              </w:rPr>
              <w:t>工业和信息化部发布《“十四五”民用爆炸物品行业安全发展规划》，提出全面推广工业数码电子雷管，除保留少量产能用于出口或其它经许可的特殊用途外，2022年6月底前停止生产、8月底前停止销售普通工业雷管。</w:t>
            </w:r>
          </w:p>
          <w:p>
            <w:pPr>
              <w:ind w:firstLine="480" w:firstLineChars="200"/>
              <w:rPr>
                <w:rFonts w:hint="eastAsia" w:eastAsiaTheme="minorEastAsia"/>
                <w:kern w:val="0"/>
                <w:sz w:val="24"/>
              </w:rPr>
            </w:pPr>
            <w:r>
              <w:rPr>
                <w:rFonts w:hint="eastAsia" w:eastAsiaTheme="minorEastAsia"/>
                <w:kern w:val="0"/>
                <w:sz w:val="24"/>
              </w:rPr>
              <w:t>公司将全面抓住工业数码电子雷管全面替代电子雷管的政策导向，依托电子雷管技术和渠道优势，不断提高电子雷管在全国的市场占有率。2022年1-4月，公司电子数码雷管产销量仍稳居行业首位。</w:t>
            </w:r>
          </w:p>
          <w:p>
            <w:pPr>
              <w:rPr>
                <w:rFonts w:eastAsiaTheme="minorEastAsia"/>
                <w:kern w:val="0"/>
                <w:sz w:val="24"/>
              </w:rPr>
            </w:pPr>
          </w:p>
          <w:p>
            <w:pPr>
              <w:ind w:firstLine="480" w:firstLineChars="200"/>
              <w:rPr>
                <w:rFonts w:eastAsiaTheme="minorEastAsia"/>
                <w:b/>
                <w:kern w:val="0"/>
                <w:sz w:val="24"/>
              </w:rPr>
            </w:pPr>
            <w:r>
              <w:rPr>
                <w:rFonts w:hint="eastAsia" w:eastAsiaTheme="minorEastAsia"/>
                <w:b/>
                <w:kern w:val="0"/>
                <w:sz w:val="24"/>
              </w:rPr>
              <w:t>三、雅安锂业生产线建设情况</w:t>
            </w:r>
          </w:p>
          <w:p>
            <w:pPr>
              <w:ind w:firstLine="480" w:firstLineChars="200"/>
              <w:rPr>
                <w:rFonts w:hint="eastAsia" w:eastAsiaTheme="minorEastAsia"/>
                <w:kern w:val="0"/>
                <w:sz w:val="24"/>
              </w:rPr>
            </w:pPr>
            <w:r>
              <w:rPr>
                <w:rFonts w:hint="eastAsia" w:eastAsiaTheme="minorEastAsia"/>
                <w:kern w:val="0"/>
                <w:sz w:val="24"/>
              </w:rPr>
              <w:t>公司雅安锂业一期2万吨电池级氢氧化锂生产线已建成投产，所采用的生产工艺技术及装备水平均达到行业领先水平。为顺应行业发展要求，公司于2021年正式启动了雅安锂业二期3万吨电池级氢氧化锂产线的建设，预计将于今年年底前建成投产；三期产线规划正在制定中</w:t>
            </w:r>
            <w:r>
              <w:rPr>
                <w:rFonts w:hint="default" w:eastAsiaTheme="minorEastAsia"/>
                <w:kern w:val="0"/>
                <w:sz w:val="24"/>
                <w:woUserID w:val="1"/>
              </w:rPr>
              <w:t>，</w:t>
            </w:r>
            <w:r>
              <w:rPr>
                <w:rFonts w:hint="eastAsia" w:eastAsiaTheme="minorEastAsia"/>
                <w:kern w:val="0"/>
                <w:sz w:val="24"/>
              </w:rPr>
              <w:t>到2025年，公司锂盐产品综合产能将超过10万吨。</w:t>
            </w:r>
          </w:p>
          <w:p>
            <w:pPr>
              <w:ind w:firstLine="480" w:firstLineChars="200"/>
              <w:rPr>
                <w:rFonts w:eastAsiaTheme="minorEastAsia"/>
                <w:kern w:val="0"/>
                <w:sz w:val="24"/>
              </w:rPr>
            </w:pPr>
          </w:p>
          <w:p>
            <w:pPr>
              <w:ind w:firstLine="480" w:firstLineChars="200"/>
              <w:rPr>
                <w:rFonts w:eastAsiaTheme="minorEastAsia"/>
                <w:b/>
                <w:color w:val="000000"/>
                <w:kern w:val="0"/>
                <w:sz w:val="24"/>
              </w:rPr>
            </w:pPr>
            <w:r>
              <w:rPr>
                <w:rFonts w:hint="eastAsia" w:eastAsiaTheme="minorEastAsia"/>
                <w:b/>
                <w:color w:val="000000"/>
                <w:kern w:val="0"/>
                <w:sz w:val="24"/>
              </w:rPr>
              <w:t>四、公司锂资源保障情况</w:t>
            </w:r>
          </w:p>
          <w:p>
            <w:pPr>
              <w:pStyle w:val="13"/>
              <w:ind w:firstLine="480"/>
              <w:jc w:val="both"/>
              <w:rPr>
                <w:rFonts w:ascii="Times New Roman" w:eastAsiaTheme="minorEastAsia"/>
              </w:rPr>
            </w:pPr>
            <w:r>
              <w:rPr>
                <w:rFonts w:hint="eastAsia" w:ascii="Times New Roman" w:eastAsiaTheme="minorEastAsia"/>
              </w:rPr>
              <w:t>公司目前的锂资源供应渠道已能满足</w:t>
            </w:r>
            <w:r>
              <w:rPr>
                <w:rFonts w:ascii="Times New Roman" w:cs="Times New Roman" w:eastAsiaTheme="minorEastAsia"/>
              </w:rPr>
              <w:t>2022</w:t>
            </w:r>
            <w:r>
              <w:rPr>
                <w:rFonts w:hint="eastAsia" w:ascii="Times New Roman" w:eastAsiaTheme="minorEastAsia"/>
              </w:rPr>
              <w:t>年锂盐生产需要，主要如下：</w:t>
            </w:r>
            <w:r>
              <w:rPr>
                <w:rFonts w:ascii="Times New Roman" w:eastAsiaTheme="minorEastAsia"/>
              </w:rPr>
              <w:t xml:space="preserve"> </w:t>
            </w:r>
          </w:p>
          <w:p>
            <w:pPr>
              <w:pStyle w:val="13"/>
              <w:ind w:firstLine="480"/>
              <w:jc w:val="both"/>
              <w:rPr>
                <w:rFonts w:ascii="Times New Roman" w:cs="Times New Roman" w:eastAsiaTheme="minorEastAsia"/>
              </w:rPr>
            </w:pPr>
            <w:r>
              <w:rPr>
                <w:rFonts w:ascii="Times New Roman" w:cs="Times New Roman" w:eastAsiaTheme="minorEastAsia"/>
              </w:rPr>
              <w:t>1</w:t>
            </w:r>
            <w:r>
              <w:rPr>
                <w:rFonts w:hint="eastAsia" w:ascii="Times New Roman" w:eastAsiaTheme="minorEastAsia"/>
              </w:rPr>
              <w:t>、与银河锂业续签锂精矿包销协议至</w:t>
            </w:r>
            <w:r>
              <w:rPr>
                <w:rFonts w:ascii="Times New Roman" w:cs="Times New Roman" w:eastAsiaTheme="minorEastAsia"/>
              </w:rPr>
              <w:t>2025</w:t>
            </w:r>
            <w:r>
              <w:rPr>
                <w:rFonts w:hint="eastAsia" w:ascii="Times New Roman" w:cs="Times New Roman" w:eastAsiaTheme="minorEastAsia"/>
              </w:rPr>
              <w:t>年。银河锂业每年根据我们的生产需要提供不低于</w:t>
            </w:r>
            <w:r>
              <w:rPr>
                <w:rFonts w:ascii="Times New Roman" w:cs="Times New Roman" w:eastAsiaTheme="minorEastAsia"/>
              </w:rPr>
              <w:t>12</w:t>
            </w:r>
            <w:r>
              <w:rPr>
                <w:rFonts w:hint="eastAsia" w:ascii="Times New Roman" w:cs="Times New Roman" w:eastAsiaTheme="minorEastAsia"/>
              </w:rPr>
              <w:t>万吨锂精矿供应，将为公司未来锂盐产品生产提供长期、稳定、优质的原料保障</w:t>
            </w:r>
            <w:r>
              <w:rPr>
                <w:rFonts w:ascii="Times New Roman" w:cs="Times New Roman" w:eastAsiaTheme="minorEastAsia"/>
              </w:rPr>
              <w:t>。</w:t>
            </w:r>
          </w:p>
          <w:p>
            <w:pPr>
              <w:pStyle w:val="13"/>
              <w:ind w:firstLine="480"/>
              <w:jc w:val="both"/>
              <w:rPr>
                <w:rFonts w:ascii="Times New Roman" w:cs="Times New Roman" w:eastAsiaTheme="minorEastAsia"/>
              </w:rPr>
            </w:pPr>
            <w:r>
              <w:rPr>
                <w:rFonts w:ascii="Times New Roman" w:cs="Times New Roman" w:eastAsiaTheme="minorEastAsia"/>
              </w:rPr>
              <w:t>2</w:t>
            </w:r>
            <w:r>
              <w:rPr>
                <w:rFonts w:hint="eastAsia" w:ascii="Times New Roman" w:cs="Times New Roman" w:eastAsiaTheme="minorEastAsia"/>
              </w:rPr>
              <w:t>、李家沟锂辉石矿优先供应权。公司参股的能投锂业拥有李家沟锂辉石矿采矿权，根据协议约定，李家沟锂矿日后开采、加工的锂精矿将优先满足公司旗下控股子公司国理公司的生产供应。</w:t>
            </w:r>
          </w:p>
          <w:p>
            <w:pPr>
              <w:pStyle w:val="13"/>
              <w:ind w:firstLine="480"/>
              <w:jc w:val="both"/>
              <w:rPr>
                <w:rFonts w:ascii="Times New Roman" w:cs="Times New Roman" w:eastAsiaTheme="minorEastAsia"/>
              </w:rPr>
            </w:pPr>
            <w:r>
              <w:rPr>
                <w:rFonts w:ascii="Times New Roman" w:cs="Times New Roman" w:eastAsiaTheme="minorEastAsia"/>
              </w:rPr>
              <w:t>3</w:t>
            </w:r>
            <w:r>
              <w:rPr>
                <w:rFonts w:hint="eastAsia" w:ascii="Times New Roman" w:cs="Times New Roman" w:eastAsiaTheme="minorEastAsia"/>
              </w:rPr>
              <w:t>、参股澳洲</w:t>
            </w:r>
            <w:r>
              <w:rPr>
                <w:rFonts w:ascii="Times New Roman" w:cs="Times New Roman" w:eastAsiaTheme="minorEastAsia"/>
              </w:rPr>
              <w:t>Core</w:t>
            </w:r>
            <w:r>
              <w:rPr>
                <w:rFonts w:hint="eastAsia" w:ascii="Times New Roman" w:cs="Times New Roman" w:eastAsiaTheme="minorEastAsia"/>
              </w:rPr>
              <w:t>公司并签订锂精矿包销协议，</w:t>
            </w:r>
            <w:r>
              <w:rPr>
                <w:rFonts w:ascii="Times New Roman" w:cs="Times New Roman" w:eastAsiaTheme="minorEastAsia"/>
              </w:rPr>
              <w:t>Core</w:t>
            </w:r>
            <w:r>
              <w:rPr>
                <w:rFonts w:hint="eastAsia" w:ascii="Times New Roman" w:cs="Times New Roman" w:eastAsiaTheme="minorEastAsia"/>
              </w:rPr>
              <w:t>目前已开始进行矿山建设，旗下锂矿开采成本较低，开采价值较高，预计今年四季度将向公司供应锂精矿。</w:t>
            </w:r>
          </w:p>
          <w:p>
            <w:pPr>
              <w:pStyle w:val="13"/>
              <w:ind w:firstLine="480"/>
              <w:jc w:val="both"/>
              <w:rPr>
                <w:rFonts w:ascii="Times New Roman" w:cs="Times New Roman" w:eastAsiaTheme="minorEastAsia"/>
              </w:rPr>
            </w:pPr>
            <w:r>
              <w:rPr>
                <w:rFonts w:hint="eastAsia" w:ascii="Times New Roman" w:cs="Times New Roman" w:eastAsiaTheme="minorEastAsia"/>
              </w:rPr>
              <w:t>4、参股澳洲E</w:t>
            </w:r>
            <w:r>
              <w:rPr>
                <w:rFonts w:ascii="Times New Roman" w:cs="Times New Roman" w:eastAsiaTheme="minorEastAsia"/>
              </w:rPr>
              <w:t>FE</w:t>
            </w:r>
            <w:r>
              <w:rPr>
                <w:rFonts w:hint="eastAsia" w:ascii="Times New Roman" w:cs="Times New Roman" w:eastAsiaTheme="minorEastAsia"/>
              </w:rPr>
              <w:t>公司股权，已签署战略合作协议，公司已与EFE公司锁定锂矿标的，并将继续在锂矿资源开发方面进行合作。</w:t>
            </w:r>
          </w:p>
          <w:p>
            <w:pPr>
              <w:pStyle w:val="13"/>
              <w:ind w:firstLine="480"/>
              <w:jc w:val="both"/>
              <w:rPr>
                <w:rFonts w:ascii="Times New Roman" w:cs="Times New Roman" w:eastAsiaTheme="minorEastAsia"/>
              </w:rPr>
            </w:pPr>
            <w:r>
              <w:rPr>
                <w:rFonts w:hint="eastAsia" w:ascii="Times New Roman" w:cs="Times New Roman" w:eastAsiaTheme="minorEastAsia"/>
              </w:rPr>
              <w:t>5、参股澳洲EVR公司股权，EVR公司拥有澳大利亚肖河锂锡钽项目及奥地利韦因贝尼项目和东阿尔卑斯山锂矿等锂资源项目，公司将与其共同开发上述资源项目。</w:t>
            </w:r>
          </w:p>
          <w:p>
            <w:pPr>
              <w:pStyle w:val="13"/>
              <w:ind w:firstLine="480"/>
              <w:rPr>
                <w:rFonts w:ascii="Times New Roman" w:cs="Times New Roman" w:eastAsiaTheme="minorEastAsia"/>
              </w:rPr>
            </w:pPr>
            <w:r>
              <w:rPr>
                <w:rFonts w:hint="eastAsia" w:ascii="Times New Roman" w:cs="Times New Roman" w:eastAsiaTheme="minorEastAsia"/>
              </w:rPr>
              <w:t>6、参股澳洲ABY公司股权并签署锂精矿《承购及销售协议》，ABY公司在苏丹和埃塞俄比亚等非洲国家拥有矿产资源，核心资产主要为埃塞俄比亚的Kenticha锂矿，为公司在锂产业上游资源端提供了新的保障渠道，预计2023年二季度将开始每年为公司供应不低于12万吨的锂精矿。</w:t>
            </w:r>
          </w:p>
          <w:p>
            <w:pPr>
              <w:pStyle w:val="13"/>
              <w:ind w:firstLine="480"/>
              <w:jc w:val="both"/>
              <w:rPr>
                <w:rFonts w:ascii="Times New Roman" w:cs="Times New Roman" w:eastAsiaTheme="minorEastAsia"/>
              </w:rPr>
            </w:pPr>
            <w:r>
              <w:rPr>
                <w:rFonts w:hint="eastAsia" w:ascii="Times New Roman" w:cs="Times New Roman" w:eastAsiaTheme="minorEastAsia"/>
              </w:rPr>
              <w:t>7、参股加拿大超锂公司股权，并且收购旗下全资子公司60%的股权，控股福根湖硬岩石锂辉石型锂矿项目和佐治亚湖硬岩石锂辉石型锂矿项目。</w:t>
            </w:r>
            <w:r>
              <w:rPr>
                <w:rFonts w:hint="default" w:ascii="Times New Roman" w:cs="Times New Roman" w:eastAsiaTheme="minorEastAsia"/>
                <w:woUserID w:val="1"/>
              </w:rPr>
              <w:t>根据目前资料估计</w:t>
            </w:r>
            <w:r>
              <w:rPr>
                <w:rFonts w:hint="eastAsia" w:ascii="Times New Roman" w:cs="Times New Roman" w:eastAsiaTheme="minorEastAsia"/>
              </w:rPr>
              <w:t>上述两个项目的氧化锂储量超过20万吨，首期将设计建设20万吨/年锂精矿采选厂，持续运营时间不低于10年，后期将根据进一步详勘情况，建设二期再将产能扩大至40万吨。</w:t>
            </w:r>
          </w:p>
          <w:p>
            <w:pPr>
              <w:ind w:firstLine="480" w:firstLineChars="200"/>
              <w:rPr>
                <w:rFonts w:eastAsiaTheme="minorEastAsia"/>
                <w:sz w:val="24"/>
              </w:rPr>
            </w:pPr>
            <w:r>
              <w:rPr>
                <w:rFonts w:hint="eastAsia" w:eastAsiaTheme="minorEastAsia"/>
                <w:sz w:val="24"/>
              </w:rPr>
              <w:t>此外，公司也在持续跟进国内外其他锂矿、盐湖项目，积极布局上游锂资源，掌握对锂资源的控制权，</w:t>
            </w:r>
            <w:r>
              <w:rPr>
                <w:rFonts w:eastAsiaTheme="minorEastAsia"/>
                <w:sz w:val="24"/>
              </w:rPr>
              <w:t>计划</w:t>
            </w:r>
            <w:r>
              <w:rPr>
                <w:rFonts w:hint="eastAsia" w:eastAsiaTheme="minorEastAsia"/>
                <w:sz w:val="24"/>
              </w:rPr>
              <w:t>到2</w:t>
            </w:r>
            <w:r>
              <w:rPr>
                <w:rFonts w:eastAsiaTheme="minorEastAsia"/>
                <w:sz w:val="24"/>
              </w:rPr>
              <w:t>025</w:t>
            </w:r>
            <w:r>
              <w:rPr>
                <w:rFonts w:hint="eastAsia" w:eastAsiaTheme="minorEastAsia"/>
                <w:sz w:val="24"/>
              </w:rPr>
              <w:t>年锂资源自给率将超过5</w:t>
            </w:r>
            <w:r>
              <w:rPr>
                <w:rFonts w:eastAsiaTheme="minorEastAsia"/>
                <w:sz w:val="24"/>
              </w:rPr>
              <w:t>0</w:t>
            </w:r>
            <w:r>
              <w:rPr>
                <w:rFonts w:hint="eastAsia" w:eastAsiaTheme="minorEastAsia"/>
                <w:sz w:val="24"/>
              </w:rPr>
              <w:t>%，为公司未来锂盐产能扩充建立稳定的锂资源保障体系。</w:t>
            </w:r>
          </w:p>
          <w:p>
            <w:pPr>
              <w:ind w:firstLine="480" w:firstLineChars="200"/>
              <w:rPr>
                <w:rFonts w:eastAsiaTheme="minorEastAsia"/>
                <w:sz w:val="24"/>
              </w:rPr>
            </w:pPr>
          </w:p>
          <w:p>
            <w:pPr>
              <w:ind w:firstLine="480" w:firstLineChars="200"/>
              <w:rPr>
                <w:rFonts w:eastAsiaTheme="minorEastAsia"/>
                <w:sz w:val="24"/>
              </w:rPr>
            </w:pPr>
            <w:r>
              <w:rPr>
                <w:rFonts w:hint="eastAsia" w:eastAsiaTheme="minorEastAsia"/>
                <w:b/>
                <w:sz w:val="24"/>
              </w:rPr>
              <w:t>五、半年度业绩预计情况</w:t>
            </w:r>
          </w:p>
          <w:p>
            <w:pPr>
              <w:ind w:firstLine="480" w:firstLineChars="200"/>
              <w:rPr>
                <w:rFonts w:eastAsiaTheme="minorEastAsia"/>
                <w:sz w:val="24"/>
              </w:rPr>
            </w:pPr>
            <w:r>
              <w:rPr>
                <w:rFonts w:hint="eastAsia" w:eastAsiaTheme="minorEastAsia"/>
                <w:sz w:val="24"/>
              </w:rPr>
              <w:t>公司预计2022年上半年实现净利润2</w:t>
            </w:r>
            <w:r>
              <w:rPr>
                <w:rFonts w:eastAsiaTheme="minorEastAsia"/>
                <w:sz w:val="24"/>
              </w:rPr>
              <w:t>1.2~23.7</w:t>
            </w:r>
            <w:r>
              <w:rPr>
                <w:rFonts w:hint="eastAsia" w:eastAsiaTheme="minorEastAsia"/>
                <w:sz w:val="24"/>
              </w:rPr>
              <w:t>亿元，同比增长542.79%～618.52%，二季度环比一季度</w:t>
            </w:r>
            <w:r>
              <w:rPr>
                <w:rFonts w:hint="default" w:eastAsiaTheme="minorEastAsia"/>
                <w:sz w:val="24"/>
                <w:woUserID w:val="1"/>
              </w:rPr>
              <w:t>仍有一定的</w:t>
            </w:r>
            <w:r>
              <w:rPr>
                <w:rFonts w:hint="eastAsia" w:eastAsiaTheme="minorEastAsia"/>
                <w:sz w:val="24"/>
              </w:rPr>
              <w:t>增</w:t>
            </w:r>
            <w:r>
              <w:rPr>
                <w:rFonts w:hint="default" w:eastAsiaTheme="minorEastAsia"/>
                <w:sz w:val="24"/>
                <w:woUserID w:val="1"/>
              </w:rPr>
              <w:t>长</w:t>
            </w:r>
            <w:r>
              <w:rPr>
                <w:rFonts w:hint="eastAsia" w:eastAsiaTheme="minorEastAsia"/>
                <w:sz w:val="24"/>
              </w:rPr>
              <w:t>，</w:t>
            </w:r>
            <w:r>
              <w:rPr>
                <w:rFonts w:hint="default" w:eastAsiaTheme="minorEastAsia"/>
                <w:sz w:val="24"/>
                <w:woUserID w:val="1"/>
              </w:rPr>
              <w:t>主要得益于行业前期资源布局和市场拓展</w:t>
            </w:r>
            <w:bookmarkStart w:id="0" w:name="_GoBack"/>
            <w:bookmarkEnd w:id="0"/>
            <w:r>
              <w:rPr>
                <w:rFonts w:hint="eastAsia" w:eastAsiaTheme="minorEastAsia"/>
                <w:sz w:val="24"/>
              </w:rPr>
              <w:t>。</w:t>
            </w:r>
          </w:p>
          <w:p>
            <w:pPr>
              <w:ind w:firstLine="480" w:firstLineChars="200"/>
              <w:rPr>
                <w:rFonts w:eastAsiaTheme="minorEastAsia"/>
                <w:sz w:val="24"/>
              </w:rPr>
            </w:pPr>
          </w:p>
          <w:p>
            <w:pPr>
              <w:ind w:firstLine="480" w:firstLineChars="200"/>
              <w:rPr>
                <w:rFonts w:eastAsiaTheme="minorEastAsia"/>
                <w:b/>
                <w:sz w:val="24"/>
              </w:rPr>
            </w:pPr>
            <w:r>
              <w:rPr>
                <w:rFonts w:hint="eastAsia" w:eastAsiaTheme="minorEastAsia"/>
                <w:b/>
                <w:sz w:val="24"/>
              </w:rPr>
              <w:t>六、公司未来发展优势</w:t>
            </w:r>
          </w:p>
          <w:p>
            <w:pPr>
              <w:ind w:firstLine="480" w:firstLineChars="200"/>
              <w:rPr>
                <w:rFonts w:eastAsiaTheme="minorEastAsia"/>
                <w:sz w:val="24"/>
              </w:rPr>
            </w:pPr>
            <w:r>
              <w:rPr>
                <w:rFonts w:hint="eastAsia" w:eastAsiaTheme="minorEastAsia"/>
                <w:sz w:val="24"/>
              </w:rPr>
              <w:t>公司未来将坚持民爆和锂产业双主业联动发展，充分发挥在产业链、区位、市场、管理、资源整合、人才和技术等方面的优势，在民爆产业方面不断巩固在行业中的领先地位和盈利能力，践行民爆行业高质量发展要求，通过行业并购整合、数码电子雷管全面应用和爆破一体化服务，将公司打造成具有国际竞争力的民爆产业集团；在锂产业方面将通过资源保障、扩能建设和核心客户快速做强，将公司打造成具有全球影响力的锂盐供应商。</w:t>
            </w:r>
          </w:p>
          <w:p>
            <w:pPr>
              <w:rPr>
                <w:rFonts w:eastAsiaTheme="minorEastAsia"/>
              </w:rPr>
            </w:pPr>
          </w:p>
          <w:p>
            <w:pPr>
              <w:ind w:firstLine="480" w:firstLineChars="200"/>
              <w:rPr>
                <w:color w:val="000000"/>
                <w:kern w:val="0"/>
                <w:sz w:val="24"/>
              </w:rPr>
            </w:pPr>
            <w:r>
              <w:rPr>
                <w:rFonts w:hint="eastAsia" w:eastAsiaTheme="minorEastAsia"/>
                <w:color w:val="000000"/>
                <w:kern w:val="0"/>
                <w:sz w:val="24"/>
              </w:rPr>
              <w:t>本次沟通会未涉及公司未公开披露的相关信息。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1262"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
                <w:bCs/>
                <w:iCs/>
                <w:color w:val="000000"/>
                <w:sz w:val="24"/>
              </w:rPr>
            </w:pPr>
            <w:r>
              <w:rPr>
                <w:rFonts w:hint="eastAsia"/>
                <w:b/>
                <w:bCs/>
                <w:iCs/>
                <w:color w:val="000000"/>
                <w:sz w:val="24"/>
              </w:rPr>
              <w:t>附件清单（如有）</w:t>
            </w:r>
          </w:p>
        </w:tc>
        <w:tc>
          <w:tcPr>
            <w:tcW w:w="9013" w:type="dxa"/>
            <w:tcBorders>
              <w:top w:val="single" w:color="auto" w:sz="4" w:space="0"/>
              <w:left w:val="single" w:color="auto" w:sz="4" w:space="0"/>
              <w:bottom w:val="single" w:color="auto" w:sz="4" w:space="0"/>
              <w:right w:val="single" w:color="auto" w:sz="4" w:space="0"/>
            </w:tcBorders>
            <w:vAlign w:val="center"/>
          </w:tcPr>
          <w:p>
            <w:pPr>
              <w:spacing w:line="480" w:lineRule="atLeast"/>
              <w:rPr>
                <w:sz w:val="28"/>
                <w:szCs w:val="28"/>
              </w:rPr>
            </w:pPr>
            <w:r>
              <w:rPr>
                <w:rFonts w:hint="eastAsia"/>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262"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
                <w:bCs/>
                <w:iCs/>
                <w:color w:val="000000"/>
                <w:sz w:val="24"/>
              </w:rPr>
            </w:pPr>
            <w:r>
              <w:rPr>
                <w:rFonts w:hint="eastAsia"/>
                <w:b/>
                <w:bCs/>
                <w:iCs/>
                <w:color w:val="000000"/>
                <w:sz w:val="24"/>
              </w:rPr>
              <w:t>日期</w:t>
            </w:r>
          </w:p>
        </w:tc>
        <w:tc>
          <w:tcPr>
            <w:tcW w:w="9013" w:type="dxa"/>
            <w:tcBorders>
              <w:top w:val="single" w:color="auto" w:sz="4" w:space="0"/>
              <w:left w:val="single" w:color="auto" w:sz="4" w:space="0"/>
              <w:bottom w:val="single" w:color="auto" w:sz="4" w:space="0"/>
              <w:right w:val="single" w:color="auto" w:sz="4" w:space="0"/>
            </w:tcBorders>
            <w:vAlign w:val="center"/>
          </w:tcPr>
          <w:p>
            <w:pPr>
              <w:spacing w:line="480" w:lineRule="atLeast"/>
              <w:rPr>
                <w:sz w:val="28"/>
                <w:szCs w:val="28"/>
              </w:rPr>
            </w:pPr>
            <w:r>
              <w:rPr>
                <w:rFonts w:hint="eastAsia"/>
                <w:sz w:val="28"/>
                <w:szCs w:val="28"/>
              </w:rPr>
              <w:t>202</w:t>
            </w:r>
            <w:r>
              <w:rPr>
                <w:sz w:val="28"/>
                <w:szCs w:val="28"/>
              </w:rPr>
              <w:t>2</w:t>
            </w:r>
            <w:r>
              <w:rPr>
                <w:rFonts w:hint="eastAsia"/>
                <w:sz w:val="28"/>
                <w:szCs w:val="28"/>
              </w:rPr>
              <w:t>年</w:t>
            </w:r>
            <w:r>
              <w:rPr>
                <w:sz w:val="28"/>
                <w:szCs w:val="28"/>
              </w:rPr>
              <w:t>6</w:t>
            </w:r>
            <w:r>
              <w:rPr>
                <w:rFonts w:hint="eastAsia"/>
                <w:sz w:val="28"/>
                <w:szCs w:val="28"/>
              </w:rPr>
              <w:t>月</w:t>
            </w:r>
            <w:r>
              <w:rPr>
                <w:sz w:val="28"/>
                <w:szCs w:val="28"/>
              </w:rPr>
              <w:t>10</w:t>
            </w:r>
            <w:r>
              <w:rPr>
                <w:rFonts w:hint="eastAsia"/>
                <w:sz w:val="28"/>
                <w:szCs w:val="28"/>
              </w:rPr>
              <w:t>日</w:t>
            </w:r>
          </w:p>
        </w:tc>
      </w:tr>
    </w:tbl>
    <w:p/>
    <w:sectPr>
      <w:headerReference r:id="rId3" w:type="default"/>
      <w:pgSz w:w="11906" w:h="16838"/>
      <w:pgMar w:top="1091" w:right="1800" w:bottom="9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29"/>
    <w:rsid w:val="00000C7A"/>
    <w:rsid w:val="00001CE5"/>
    <w:rsid w:val="00002353"/>
    <w:rsid w:val="00002512"/>
    <w:rsid w:val="0000263F"/>
    <w:rsid w:val="000032C9"/>
    <w:rsid w:val="00006333"/>
    <w:rsid w:val="00006F6C"/>
    <w:rsid w:val="00007102"/>
    <w:rsid w:val="00007922"/>
    <w:rsid w:val="00010071"/>
    <w:rsid w:val="00011E4C"/>
    <w:rsid w:val="00014383"/>
    <w:rsid w:val="00014D85"/>
    <w:rsid w:val="000152F6"/>
    <w:rsid w:val="00016F5C"/>
    <w:rsid w:val="0001741F"/>
    <w:rsid w:val="00020101"/>
    <w:rsid w:val="00021A5B"/>
    <w:rsid w:val="00022529"/>
    <w:rsid w:val="00024514"/>
    <w:rsid w:val="00024B86"/>
    <w:rsid w:val="0002578C"/>
    <w:rsid w:val="000263CE"/>
    <w:rsid w:val="000265C7"/>
    <w:rsid w:val="00026DB0"/>
    <w:rsid w:val="00030003"/>
    <w:rsid w:val="000303CD"/>
    <w:rsid w:val="00035108"/>
    <w:rsid w:val="00037B6F"/>
    <w:rsid w:val="0004044E"/>
    <w:rsid w:val="00041414"/>
    <w:rsid w:val="00042385"/>
    <w:rsid w:val="00043DC7"/>
    <w:rsid w:val="00046092"/>
    <w:rsid w:val="0004614E"/>
    <w:rsid w:val="00047E0E"/>
    <w:rsid w:val="00060120"/>
    <w:rsid w:val="0006278F"/>
    <w:rsid w:val="00062A80"/>
    <w:rsid w:val="00063D88"/>
    <w:rsid w:val="0007080D"/>
    <w:rsid w:val="00073DB9"/>
    <w:rsid w:val="00076613"/>
    <w:rsid w:val="00083398"/>
    <w:rsid w:val="00086D03"/>
    <w:rsid w:val="00090533"/>
    <w:rsid w:val="00091342"/>
    <w:rsid w:val="0009315F"/>
    <w:rsid w:val="000A3FF0"/>
    <w:rsid w:val="000A46A9"/>
    <w:rsid w:val="000A4889"/>
    <w:rsid w:val="000A54CA"/>
    <w:rsid w:val="000A5914"/>
    <w:rsid w:val="000A794F"/>
    <w:rsid w:val="000A79AF"/>
    <w:rsid w:val="000B0C82"/>
    <w:rsid w:val="000B3EF8"/>
    <w:rsid w:val="000B531E"/>
    <w:rsid w:val="000B6116"/>
    <w:rsid w:val="000C12EB"/>
    <w:rsid w:val="000C36E9"/>
    <w:rsid w:val="000C4865"/>
    <w:rsid w:val="000C507C"/>
    <w:rsid w:val="000D00C1"/>
    <w:rsid w:val="000D390F"/>
    <w:rsid w:val="000D3B03"/>
    <w:rsid w:val="000D4B03"/>
    <w:rsid w:val="000E1BC0"/>
    <w:rsid w:val="000E2A5E"/>
    <w:rsid w:val="000E3054"/>
    <w:rsid w:val="000E5202"/>
    <w:rsid w:val="000E5439"/>
    <w:rsid w:val="000E6CB7"/>
    <w:rsid w:val="000E7FDA"/>
    <w:rsid w:val="000F066C"/>
    <w:rsid w:val="000F1659"/>
    <w:rsid w:val="0010072C"/>
    <w:rsid w:val="00103007"/>
    <w:rsid w:val="00103F2D"/>
    <w:rsid w:val="00106AC4"/>
    <w:rsid w:val="00112CF1"/>
    <w:rsid w:val="001132FE"/>
    <w:rsid w:val="001203AD"/>
    <w:rsid w:val="00121AFE"/>
    <w:rsid w:val="0012355A"/>
    <w:rsid w:val="0012493B"/>
    <w:rsid w:val="00125230"/>
    <w:rsid w:val="00125CA8"/>
    <w:rsid w:val="001275DF"/>
    <w:rsid w:val="001277F3"/>
    <w:rsid w:val="001279A7"/>
    <w:rsid w:val="001301D0"/>
    <w:rsid w:val="00130F62"/>
    <w:rsid w:val="0013219F"/>
    <w:rsid w:val="00132421"/>
    <w:rsid w:val="00132FD7"/>
    <w:rsid w:val="00134BB7"/>
    <w:rsid w:val="001454C8"/>
    <w:rsid w:val="00147140"/>
    <w:rsid w:val="001518F8"/>
    <w:rsid w:val="0015355E"/>
    <w:rsid w:val="00154E4F"/>
    <w:rsid w:val="00156996"/>
    <w:rsid w:val="0016072D"/>
    <w:rsid w:val="00161718"/>
    <w:rsid w:val="00165655"/>
    <w:rsid w:val="00166988"/>
    <w:rsid w:val="00170704"/>
    <w:rsid w:val="00170A9F"/>
    <w:rsid w:val="0017189E"/>
    <w:rsid w:val="001756E4"/>
    <w:rsid w:val="00176703"/>
    <w:rsid w:val="00177691"/>
    <w:rsid w:val="00177E19"/>
    <w:rsid w:val="00183CE4"/>
    <w:rsid w:val="00184558"/>
    <w:rsid w:val="0018459C"/>
    <w:rsid w:val="00186EB3"/>
    <w:rsid w:val="00187096"/>
    <w:rsid w:val="00187D35"/>
    <w:rsid w:val="001905F3"/>
    <w:rsid w:val="00190832"/>
    <w:rsid w:val="00191905"/>
    <w:rsid w:val="0019432B"/>
    <w:rsid w:val="00194FB1"/>
    <w:rsid w:val="00195EC4"/>
    <w:rsid w:val="001970B2"/>
    <w:rsid w:val="001A1637"/>
    <w:rsid w:val="001A1E06"/>
    <w:rsid w:val="001A39E5"/>
    <w:rsid w:val="001A3D56"/>
    <w:rsid w:val="001A5ECB"/>
    <w:rsid w:val="001B317F"/>
    <w:rsid w:val="001B387A"/>
    <w:rsid w:val="001B5171"/>
    <w:rsid w:val="001B55D3"/>
    <w:rsid w:val="001B7E69"/>
    <w:rsid w:val="001C1489"/>
    <w:rsid w:val="001C1EFA"/>
    <w:rsid w:val="001C2E95"/>
    <w:rsid w:val="001C5C3E"/>
    <w:rsid w:val="001C6484"/>
    <w:rsid w:val="001D0695"/>
    <w:rsid w:val="001D0EED"/>
    <w:rsid w:val="001D1156"/>
    <w:rsid w:val="001D1A51"/>
    <w:rsid w:val="001D1CEC"/>
    <w:rsid w:val="001D246E"/>
    <w:rsid w:val="001D2DA4"/>
    <w:rsid w:val="001D2EFC"/>
    <w:rsid w:val="001D3866"/>
    <w:rsid w:val="001D3A14"/>
    <w:rsid w:val="001D4949"/>
    <w:rsid w:val="001D53B5"/>
    <w:rsid w:val="001D5F4F"/>
    <w:rsid w:val="001D5F6B"/>
    <w:rsid w:val="001E1342"/>
    <w:rsid w:val="001E305D"/>
    <w:rsid w:val="001E5596"/>
    <w:rsid w:val="001E7086"/>
    <w:rsid w:val="001F1323"/>
    <w:rsid w:val="001F2E7B"/>
    <w:rsid w:val="001F3344"/>
    <w:rsid w:val="001F35F8"/>
    <w:rsid w:val="001F6618"/>
    <w:rsid w:val="00202D9E"/>
    <w:rsid w:val="00205E0B"/>
    <w:rsid w:val="002124AA"/>
    <w:rsid w:val="0021264C"/>
    <w:rsid w:val="002127F5"/>
    <w:rsid w:val="002139C6"/>
    <w:rsid w:val="00214FF4"/>
    <w:rsid w:val="00217748"/>
    <w:rsid w:val="002204C8"/>
    <w:rsid w:val="0022201A"/>
    <w:rsid w:val="002222F2"/>
    <w:rsid w:val="002233CF"/>
    <w:rsid w:val="002255E1"/>
    <w:rsid w:val="00230827"/>
    <w:rsid w:val="002309D2"/>
    <w:rsid w:val="00231B97"/>
    <w:rsid w:val="00233B1F"/>
    <w:rsid w:val="00235E03"/>
    <w:rsid w:val="00236D4C"/>
    <w:rsid w:val="002377F5"/>
    <w:rsid w:val="00237D94"/>
    <w:rsid w:val="002401A9"/>
    <w:rsid w:val="00244A5C"/>
    <w:rsid w:val="00245EA2"/>
    <w:rsid w:val="00250274"/>
    <w:rsid w:val="00255ACC"/>
    <w:rsid w:val="002578F8"/>
    <w:rsid w:val="002605DC"/>
    <w:rsid w:val="0026260E"/>
    <w:rsid w:val="00262F7B"/>
    <w:rsid w:val="00263BA0"/>
    <w:rsid w:val="002647E4"/>
    <w:rsid w:val="00265332"/>
    <w:rsid w:val="00266C9D"/>
    <w:rsid w:val="00271BD6"/>
    <w:rsid w:val="002747AE"/>
    <w:rsid w:val="002769C4"/>
    <w:rsid w:val="0027705C"/>
    <w:rsid w:val="0028132B"/>
    <w:rsid w:val="00281C4B"/>
    <w:rsid w:val="002822C1"/>
    <w:rsid w:val="00282942"/>
    <w:rsid w:val="00282ACD"/>
    <w:rsid w:val="00284285"/>
    <w:rsid w:val="0028486C"/>
    <w:rsid w:val="00285E72"/>
    <w:rsid w:val="00290585"/>
    <w:rsid w:val="002907A0"/>
    <w:rsid w:val="00290B75"/>
    <w:rsid w:val="00292A2D"/>
    <w:rsid w:val="002934BD"/>
    <w:rsid w:val="00297341"/>
    <w:rsid w:val="002976E4"/>
    <w:rsid w:val="002A088A"/>
    <w:rsid w:val="002A193A"/>
    <w:rsid w:val="002A27D0"/>
    <w:rsid w:val="002A3752"/>
    <w:rsid w:val="002A4748"/>
    <w:rsid w:val="002A501D"/>
    <w:rsid w:val="002B1204"/>
    <w:rsid w:val="002B25D5"/>
    <w:rsid w:val="002B39C0"/>
    <w:rsid w:val="002B3ABE"/>
    <w:rsid w:val="002B6708"/>
    <w:rsid w:val="002B68A4"/>
    <w:rsid w:val="002B7227"/>
    <w:rsid w:val="002C10F8"/>
    <w:rsid w:val="002C340C"/>
    <w:rsid w:val="002C3B21"/>
    <w:rsid w:val="002C3D5A"/>
    <w:rsid w:val="002C41B8"/>
    <w:rsid w:val="002C6080"/>
    <w:rsid w:val="002C7FAB"/>
    <w:rsid w:val="002D072E"/>
    <w:rsid w:val="002D2D26"/>
    <w:rsid w:val="002D5B88"/>
    <w:rsid w:val="002E14DD"/>
    <w:rsid w:val="002E2305"/>
    <w:rsid w:val="002E2735"/>
    <w:rsid w:val="002E32AB"/>
    <w:rsid w:val="002E71C5"/>
    <w:rsid w:val="002F2484"/>
    <w:rsid w:val="002F52D2"/>
    <w:rsid w:val="002F6F47"/>
    <w:rsid w:val="002F757A"/>
    <w:rsid w:val="002F7B27"/>
    <w:rsid w:val="003033E8"/>
    <w:rsid w:val="00305359"/>
    <w:rsid w:val="003103B3"/>
    <w:rsid w:val="00310826"/>
    <w:rsid w:val="00314D78"/>
    <w:rsid w:val="00315708"/>
    <w:rsid w:val="0031681D"/>
    <w:rsid w:val="00317604"/>
    <w:rsid w:val="00317857"/>
    <w:rsid w:val="00322104"/>
    <w:rsid w:val="00324BA2"/>
    <w:rsid w:val="003256CA"/>
    <w:rsid w:val="0032656B"/>
    <w:rsid w:val="00331117"/>
    <w:rsid w:val="003326E1"/>
    <w:rsid w:val="00332F41"/>
    <w:rsid w:val="00335886"/>
    <w:rsid w:val="003378DB"/>
    <w:rsid w:val="00342791"/>
    <w:rsid w:val="00343E1F"/>
    <w:rsid w:val="0034796A"/>
    <w:rsid w:val="003507A3"/>
    <w:rsid w:val="0035118E"/>
    <w:rsid w:val="00351217"/>
    <w:rsid w:val="003512B7"/>
    <w:rsid w:val="003568DD"/>
    <w:rsid w:val="003618C0"/>
    <w:rsid w:val="00361BFB"/>
    <w:rsid w:val="00362965"/>
    <w:rsid w:val="003634B2"/>
    <w:rsid w:val="00363F57"/>
    <w:rsid w:val="00364D4E"/>
    <w:rsid w:val="00365813"/>
    <w:rsid w:val="00367B98"/>
    <w:rsid w:val="00372114"/>
    <w:rsid w:val="00375193"/>
    <w:rsid w:val="00376472"/>
    <w:rsid w:val="003775A5"/>
    <w:rsid w:val="00377660"/>
    <w:rsid w:val="00377920"/>
    <w:rsid w:val="00380924"/>
    <w:rsid w:val="00382E86"/>
    <w:rsid w:val="00384043"/>
    <w:rsid w:val="00384D3F"/>
    <w:rsid w:val="00384F80"/>
    <w:rsid w:val="0038581C"/>
    <w:rsid w:val="00386DEE"/>
    <w:rsid w:val="003877E2"/>
    <w:rsid w:val="00387857"/>
    <w:rsid w:val="00391F4A"/>
    <w:rsid w:val="00394734"/>
    <w:rsid w:val="0039635A"/>
    <w:rsid w:val="00396F1D"/>
    <w:rsid w:val="003A05FE"/>
    <w:rsid w:val="003A0D0A"/>
    <w:rsid w:val="003A1151"/>
    <w:rsid w:val="003A1F56"/>
    <w:rsid w:val="003A20EE"/>
    <w:rsid w:val="003A27A3"/>
    <w:rsid w:val="003A57C3"/>
    <w:rsid w:val="003A6F2F"/>
    <w:rsid w:val="003A7976"/>
    <w:rsid w:val="003B1302"/>
    <w:rsid w:val="003B136E"/>
    <w:rsid w:val="003B1A97"/>
    <w:rsid w:val="003B276F"/>
    <w:rsid w:val="003B2B53"/>
    <w:rsid w:val="003B37CD"/>
    <w:rsid w:val="003B48F1"/>
    <w:rsid w:val="003B7DBB"/>
    <w:rsid w:val="003C1B4F"/>
    <w:rsid w:val="003C209B"/>
    <w:rsid w:val="003C6B71"/>
    <w:rsid w:val="003C6FFE"/>
    <w:rsid w:val="003D0020"/>
    <w:rsid w:val="003D00D8"/>
    <w:rsid w:val="003D38C7"/>
    <w:rsid w:val="003D6DF1"/>
    <w:rsid w:val="003D7E15"/>
    <w:rsid w:val="003E0A1F"/>
    <w:rsid w:val="003E1317"/>
    <w:rsid w:val="003E243E"/>
    <w:rsid w:val="003E28EA"/>
    <w:rsid w:val="003E2A99"/>
    <w:rsid w:val="003E3791"/>
    <w:rsid w:val="003E52FB"/>
    <w:rsid w:val="003E743E"/>
    <w:rsid w:val="003F0298"/>
    <w:rsid w:val="003F1AB9"/>
    <w:rsid w:val="003F5589"/>
    <w:rsid w:val="00400615"/>
    <w:rsid w:val="00400D4C"/>
    <w:rsid w:val="00403074"/>
    <w:rsid w:val="004111C7"/>
    <w:rsid w:val="00411250"/>
    <w:rsid w:val="004114B4"/>
    <w:rsid w:val="004141F7"/>
    <w:rsid w:val="00415368"/>
    <w:rsid w:val="00415D34"/>
    <w:rsid w:val="00415ED7"/>
    <w:rsid w:val="004169A1"/>
    <w:rsid w:val="00417BD0"/>
    <w:rsid w:val="00417E6A"/>
    <w:rsid w:val="00423F69"/>
    <w:rsid w:val="00425C80"/>
    <w:rsid w:val="00426F2B"/>
    <w:rsid w:val="0042719D"/>
    <w:rsid w:val="00432028"/>
    <w:rsid w:val="00432710"/>
    <w:rsid w:val="00435394"/>
    <w:rsid w:val="004379A1"/>
    <w:rsid w:val="004400E0"/>
    <w:rsid w:val="00441556"/>
    <w:rsid w:val="004434EE"/>
    <w:rsid w:val="0044418D"/>
    <w:rsid w:val="00446944"/>
    <w:rsid w:val="00447734"/>
    <w:rsid w:val="00450D02"/>
    <w:rsid w:val="0045138E"/>
    <w:rsid w:val="004518A8"/>
    <w:rsid w:val="0045199C"/>
    <w:rsid w:val="00452E29"/>
    <w:rsid w:val="004538CD"/>
    <w:rsid w:val="00453970"/>
    <w:rsid w:val="00453A8B"/>
    <w:rsid w:val="0045406A"/>
    <w:rsid w:val="004540F8"/>
    <w:rsid w:val="004540FA"/>
    <w:rsid w:val="00456C75"/>
    <w:rsid w:val="00456F24"/>
    <w:rsid w:val="00456F54"/>
    <w:rsid w:val="00461147"/>
    <w:rsid w:val="00462FDD"/>
    <w:rsid w:val="004632F6"/>
    <w:rsid w:val="00464003"/>
    <w:rsid w:val="00464E04"/>
    <w:rsid w:val="0046515E"/>
    <w:rsid w:val="00470106"/>
    <w:rsid w:val="004729F2"/>
    <w:rsid w:val="00480759"/>
    <w:rsid w:val="004808AD"/>
    <w:rsid w:val="00480B5C"/>
    <w:rsid w:val="0048147D"/>
    <w:rsid w:val="00482A2B"/>
    <w:rsid w:val="004830D5"/>
    <w:rsid w:val="00484FB4"/>
    <w:rsid w:val="004872B9"/>
    <w:rsid w:val="00487E21"/>
    <w:rsid w:val="00490913"/>
    <w:rsid w:val="0049147B"/>
    <w:rsid w:val="004953DA"/>
    <w:rsid w:val="0049552C"/>
    <w:rsid w:val="00495C84"/>
    <w:rsid w:val="00497D10"/>
    <w:rsid w:val="004A01AB"/>
    <w:rsid w:val="004A1997"/>
    <w:rsid w:val="004A240C"/>
    <w:rsid w:val="004A2F96"/>
    <w:rsid w:val="004A6478"/>
    <w:rsid w:val="004B085D"/>
    <w:rsid w:val="004B1DA3"/>
    <w:rsid w:val="004B23EF"/>
    <w:rsid w:val="004B2804"/>
    <w:rsid w:val="004B2948"/>
    <w:rsid w:val="004B633C"/>
    <w:rsid w:val="004B673E"/>
    <w:rsid w:val="004C42D7"/>
    <w:rsid w:val="004C48BD"/>
    <w:rsid w:val="004C64A4"/>
    <w:rsid w:val="004D0B71"/>
    <w:rsid w:val="004D2F68"/>
    <w:rsid w:val="004D3D65"/>
    <w:rsid w:val="004D556B"/>
    <w:rsid w:val="004D58D9"/>
    <w:rsid w:val="004D73E5"/>
    <w:rsid w:val="004E160E"/>
    <w:rsid w:val="004E17E4"/>
    <w:rsid w:val="004E3A2B"/>
    <w:rsid w:val="004E66DE"/>
    <w:rsid w:val="004E6ABC"/>
    <w:rsid w:val="004E6B3E"/>
    <w:rsid w:val="004E6F94"/>
    <w:rsid w:val="004E7F24"/>
    <w:rsid w:val="004F25A2"/>
    <w:rsid w:val="004F2944"/>
    <w:rsid w:val="004F2B27"/>
    <w:rsid w:val="004F2FF2"/>
    <w:rsid w:val="004F4FF3"/>
    <w:rsid w:val="004F6731"/>
    <w:rsid w:val="004F706F"/>
    <w:rsid w:val="004F7E08"/>
    <w:rsid w:val="0050127B"/>
    <w:rsid w:val="0050154A"/>
    <w:rsid w:val="005023BF"/>
    <w:rsid w:val="00502734"/>
    <w:rsid w:val="00502CE9"/>
    <w:rsid w:val="005030E8"/>
    <w:rsid w:val="0050359A"/>
    <w:rsid w:val="00503A19"/>
    <w:rsid w:val="00503A59"/>
    <w:rsid w:val="005058AD"/>
    <w:rsid w:val="0050644E"/>
    <w:rsid w:val="00512242"/>
    <w:rsid w:val="005123D8"/>
    <w:rsid w:val="00512641"/>
    <w:rsid w:val="00514D6B"/>
    <w:rsid w:val="005168F9"/>
    <w:rsid w:val="00517005"/>
    <w:rsid w:val="005178FE"/>
    <w:rsid w:val="00520D93"/>
    <w:rsid w:val="0052263D"/>
    <w:rsid w:val="00523114"/>
    <w:rsid w:val="005233BD"/>
    <w:rsid w:val="0052491E"/>
    <w:rsid w:val="005254F8"/>
    <w:rsid w:val="0052693C"/>
    <w:rsid w:val="00526A3E"/>
    <w:rsid w:val="0053007D"/>
    <w:rsid w:val="005317EA"/>
    <w:rsid w:val="00532CBA"/>
    <w:rsid w:val="005331BB"/>
    <w:rsid w:val="0053481F"/>
    <w:rsid w:val="00536123"/>
    <w:rsid w:val="00536811"/>
    <w:rsid w:val="00537FBF"/>
    <w:rsid w:val="005401B8"/>
    <w:rsid w:val="00541019"/>
    <w:rsid w:val="00541670"/>
    <w:rsid w:val="00541918"/>
    <w:rsid w:val="00542BD7"/>
    <w:rsid w:val="00543F52"/>
    <w:rsid w:val="00544042"/>
    <w:rsid w:val="00546EB9"/>
    <w:rsid w:val="0055123B"/>
    <w:rsid w:val="005513AC"/>
    <w:rsid w:val="005516FA"/>
    <w:rsid w:val="005526E5"/>
    <w:rsid w:val="005536B7"/>
    <w:rsid w:val="00556562"/>
    <w:rsid w:val="00566AC1"/>
    <w:rsid w:val="00566F53"/>
    <w:rsid w:val="00567515"/>
    <w:rsid w:val="0056756D"/>
    <w:rsid w:val="00574B37"/>
    <w:rsid w:val="00582C03"/>
    <w:rsid w:val="00582ED4"/>
    <w:rsid w:val="005830DC"/>
    <w:rsid w:val="005878DC"/>
    <w:rsid w:val="00590585"/>
    <w:rsid w:val="005912E8"/>
    <w:rsid w:val="005913A6"/>
    <w:rsid w:val="00594327"/>
    <w:rsid w:val="00594474"/>
    <w:rsid w:val="00595495"/>
    <w:rsid w:val="00595904"/>
    <w:rsid w:val="0059682E"/>
    <w:rsid w:val="00596BE3"/>
    <w:rsid w:val="005978D5"/>
    <w:rsid w:val="005A168A"/>
    <w:rsid w:val="005A2D0F"/>
    <w:rsid w:val="005A31BB"/>
    <w:rsid w:val="005A390D"/>
    <w:rsid w:val="005A3EB3"/>
    <w:rsid w:val="005A6D3C"/>
    <w:rsid w:val="005A74BC"/>
    <w:rsid w:val="005B0172"/>
    <w:rsid w:val="005B0E74"/>
    <w:rsid w:val="005B14CF"/>
    <w:rsid w:val="005B1ACB"/>
    <w:rsid w:val="005B4E97"/>
    <w:rsid w:val="005B72FB"/>
    <w:rsid w:val="005C2605"/>
    <w:rsid w:val="005C2645"/>
    <w:rsid w:val="005C4633"/>
    <w:rsid w:val="005C49F8"/>
    <w:rsid w:val="005C7294"/>
    <w:rsid w:val="005D0B27"/>
    <w:rsid w:val="005D1142"/>
    <w:rsid w:val="005D3F19"/>
    <w:rsid w:val="005D496A"/>
    <w:rsid w:val="005D4E31"/>
    <w:rsid w:val="005D5BC3"/>
    <w:rsid w:val="005E5952"/>
    <w:rsid w:val="005E73E9"/>
    <w:rsid w:val="005F0737"/>
    <w:rsid w:val="005F5CA1"/>
    <w:rsid w:val="005F6439"/>
    <w:rsid w:val="005F6B44"/>
    <w:rsid w:val="0060095B"/>
    <w:rsid w:val="00602E0E"/>
    <w:rsid w:val="00605E9D"/>
    <w:rsid w:val="006067FE"/>
    <w:rsid w:val="00606E1F"/>
    <w:rsid w:val="0061095B"/>
    <w:rsid w:val="00610A8D"/>
    <w:rsid w:val="00610C69"/>
    <w:rsid w:val="00616DA6"/>
    <w:rsid w:val="00617E6C"/>
    <w:rsid w:val="0062166C"/>
    <w:rsid w:val="00624E64"/>
    <w:rsid w:val="00626594"/>
    <w:rsid w:val="00626AA7"/>
    <w:rsid w:val="00630258"/>
    <w:rsid w:val="00633322"/>
    <w:rsid w:val="00634100"/>
    <w:rsid w:val="00634B66"/>
    <w:rsid w:val="00634E63"/>
    <w:rsid w:val="00635FEE"/>
    <w:rsid w:val="006365D6"/>
    <w:rsid w:val="00637805"/>
    <w:rsid w:val="00637966"/>
    <w:rsid w:val="00637CA7"/>
    <w:rsid w:val="0064020F"/>
    <w:rsid w:val="00640574"/>
    <w:rsid w:val="00642D4E"/>
    <w:rsid w:val="00643029"/>
    <w:rsid w:val="00645F73"/>
    <w:rsid w:val="00646234"/>
    <w:rsid w:val="00647952"/>
    <w:rsid w:val="00650475"/>
    <w:rsid w:val="00652204"/>
    <w:rsid w:val="00654C02"/>
    <w:rsid w:val="00657D7B"/>
    <w:rsid w:val="00663AC1"/>
    <w:rsid w:val="00663D9E"/>
    <w:rsid w:val="006640E4"/>
    <w:rsid w:val="00665060"/>
    <w:rsid w:val="00665BFB"/>
    <w:rsid w:val="00670331"/>
    <w:rsid w:val="00670E0D"/>
    <w:rsid w:val="0067242D"/>
    <w:rsid w:val="006753FC"/>
    <w:rsid w:val="00675620"/>
    <w:rsid w:val="0068266E"/>
    <w:rsid w:val="0068529F"/>
    <w:rsid w:val="00686B81"/>
    <w:rsid w:val="00687418"/>
    <w:rsid w:val="0068782F"/>
    <w:rsid w:val="0069000F"/>
    <w:rsid w:val="00690C1A"/>
    <w:rsid w:val="00693580"/>
    <w:rsid w:val="00694866"/>
    <w:rsid w:val="00697587"/>
    <w:rsid w:val="006976E5"/>
    <w:rsid w:val="006A3932"/>
    <w:rsid w:val="006A761D"/>
    <w:rsid w:val="006B04B0"/>
    <w:rsid w:val="006B0513"/>
    <w:rsid w:val="006B0FAA"/>
    <w:rsid w:val="006B2D34"/>
    <w:rsid w:val="006B4006"/>
    <w:rsid w:val="006B66FA"/>
    <w:rsid w:val="006B723B"/>
    <w:rsid w:val="006B7FA4"/>
    <w:rsid w:val="006C09E0"/>
    <w:rsid w:val="006C1F8C"/>
    <w:rsid w:val="006C549A"/>
    <w:rsid w:val="006C5F3B"/>
    <w:rsid w:val="006D1EA7"/>
    <w:rsid w:val="006D2234"/>
    <w:rsid w:val="006E0C7B"/>
    <w:rsid w:val="006E14CB"/>
    <w:rsid w:val="006E3DC2"/>
    <w:rsid w:val="006E47B2"/>
    <w:rsid w:val="006E6C74"/>
    <w:rsid w:val="006F059F"/>
    <w:rsid w:val="006F1FC9"/>
    <w:rsid w:val="006F37B6"/>
    <w:rsid w:val="006F3E5C"/>
    <w:rsid w:val="006F4183"/>
    <w:rsid w:val="006F475F"/>
    <w:rsid w:val="006F59AC"/>
    <w:rsid w:val="006F5DB2"/>
    <w:rsid w:val="006F64A4"/>
    <w:rsid w:val="006F736A"/>
    <w:rsid w:val="00700D4F"/>
    <w:rsid w:val="0070160A"/>
    <w:rsid w:val="007022C5"/>
    <w:rsid w:val="007026CD"/>
    <w:rsid w:val="00705CFD"/>
    <w:rsid w:val="00706A00"/>
    <w:rsid w:val="007118E9"/>
    <w:rsid w:val="00716737"/>
    <w:rsid w:val="00716A07"/>
    <w:rsid w:val="00716A44"/>
    <w:rsid w:val="00717B48"/>
    <w:rsid w:val="007210A3"/>
    <w:rsid w:val="00721797"/>
    <w:rsid w:val="007235D4"/>
    <w:rsid w:val="0072394A"/>
    <w:rsid w:val="00724663"/>
    <w:rsid w:val="007266FF"/>
    <w:rsid w:val="007268D2"/>
    <w:rsid w:val="007275B5"/>
    <w:rsid w:val="007278DD"/>
    <w:rsid w:val="007347B8"/>
    <w:rsid w:val="007352B1"/>
    <w:rsid w:val="00735765"/>
    <w:rsid w:val="00736B4F"/>
    <w:rsid w:val="00740A25"/>
    <w:rsid w:val="00742A63"/>
    <w:rsid w:val="00742F26"/>
    <w:rsid w:val="0074559D"/>
    <w:rsid w:val="00746A08"/>
    <w:rsid w:val="00746FAE"/>
    <w:rsid w:val="007471F0"/>
    <w:rsid w:val="00747355"/>
    <w:rsid w:val="00747F6C"/>
    <w:rsid w:val="00750992"/>
    <w:rsid w:val="007515D2"/>
    <w:rsid w:val="0075674C"/>
    <w:rsid w:val="0076161B"/>
    <w:rsid w:val="007622E0"/>
    <w:rsid w:val="00766188"/>
    <w:rsid w:val="00767E85"/>
    <w:rsid w:val="00770ED9"/>
    <w:rsid w:val="007739AD"/>
    <w:rsid w:val="0077453D"/>
    <w:rsid w:val="007760CD"/>
    <w:rsid w:val="00781AAF"/>
    <w:rsid w:val="00784386"/>
    <w:rsid w:val="007847E7"/>
    <w:rsid w:val="00784ECB"/>
    <w:rsid w:val="00787880"/>
    <w:rsid w:val="00795441"/>
    <w:rsid w:val="00796FDC"/>
    <w:rsid w:val="007A1EF5"/>
    <w:rsid w:val="007A3352"/>
    <w:rsid w:val="007A3B33"/>
    <w:rsid w:val="007A4D9F"/>
    <w:rsid w:val="007A65DD"/>
    <w:rsid w:val="007B0084"/>
    <w:rsid w:val="007B0B65"/>
    <w:rsid w:val="007B1365"/>
    <w:rsid w:val="007B2D4B"/>
    <w:rsid w:val="007C0A36"/>
    <w:rsid w:val="007C0F21"/>
    <w:rsid w:val="007C2664"/>
    <w:rsid w:val="007C2EF3"/>
    <w:rsid w:val="007C2F75"/>
    <w:rsid w:val="007C5B07"/>
    <w:rsid w:val="007D3CC6"/>
    <w:rsid w:val="007D6741"/>
    <w:rsid w:val="007E04EB"/>
    <w:rsid w:val="007E1B74"/>
    <w:rsid w:val="007E1F23"/>
    <w:rsid w:val="007E60DD"/>
    <w:rsid w:val="007E6E3F"/>
    <w:rsid w:val="007F0484"/>
    <w:rsid w:val="007F04B6"/>
    <w:rsid w:val="007F21B3"/>
    <w:rsid w:val="007F504B"/>
    <w:rsid w:val="007F5B73"/>
    <w:rsid w:val="007F66F6"/>
    <w:rsid w:val="0080117E"/>
    <w:rsid w:val="00803BB6"/>
    <w:rsid w:val="008054FF"/>
    <w:rsid w:val="00805777"/>
    <w:rsid w:val="0080703A"/>
    <w:rsid w:val="0080755F"/>
    <w:rsid w:val="00812EE7"/>
    <w:rsid w:val="00814605"/>
    <w:rsid w:val="00815181"/>
    <w:rsid w:val="00816470"/>
    <w:rsid w:val="00817F62"/>
    <w:rsid w:val="00822CDA"/>
    <w:rsid w:val="008241BC"/>
    <w:rsid w:val="0082469C"/>
    <w:rsid w:val="00826849"/>
    <w:rsid w:val="00827480"/>
    <w:rsid w:val="008276C2"/>
    <w:rsid w:val="00830173"/>
    <w:rsid w:val="00830B7E"/>
    <w:rsid w:val="00831440"/>
    <w:rsid w:val="008334C5"/>
    <w:rsid w:val="00833B32"/>
    <w:rsid w:val="00833F61"/>
    <w:rsid w:val="0083404E"/>
    <w:rsid w:val="00834BE1"/>
    <w:rsid w:val="00834DBE"/>
    <w:rsid w:val="008356C2"/>
    <w:rsid w:val="00836CDE"/>
    <w:rsid w:val="008372C4"/>
    <w:rsid w:val="008373AD"/>
    <w:rsid w:val="00837FCD"/>
    <w:rsid w:val="00842062"/>
    <w:rsid w:val="008476B0"/>
    <w:rsid w:val="00847725"/>
    <w:rsid w:val="00850D57"/>
    <w:rsid w:val="00852327"/>
    <w:rsid w:val="00853745"/>
    <w:rsid w:val="00853BBF"/>
    <w:rsid w:val="00853F4D"/>
    <w:rsid w:val="00854425"/>
    <w:rsid w:val="008562BF"/>
    <w:rsid w:val="00857CB5"/>
    <w:rsid w:val="008612FD"/>
    <w:rsid w:val="00861E0A"/>
    <w:rsid w:val="0086337B"/>
    <w:rsid w:val="008642DF"/>
    <w:rsid w:val="00866C7D"/>
    <w:rsid w:val="00866CA2"/>
    <w:rsid w:val="00866CE9"/>
    <w:rsid w:val="00870993"/>
    <w:rsid w:val="00873EE8"/>
    <w:rsid w:val="00874AF7"/>
    <w:rsid w:val="00875049"/>
    <w:rsid w:val="0087641E"/>
    <w:rsid w:val="0087680C"/>
    <w:rsid w:val="0087683E"/>
    <w:rsid w:val="008777EE"/>
    <w:rsid w:val="00877CAB"/>
    <w:rsid w:val="00882B16"/>
    <w:rsid w:val="0088392A"/>
    <w:rsid w:val="00884078"/>
    <w:rsid w:val="00884201"/>
    <w:rsid w:val="00885621"/>
    <w:rsid w:val="00885C1B"/>
    <w:rsid w:val="00885D6E"/>
    <w:rsid w:val="008905D4"/>
    <w:rsid w:val="008917BA"/>
    <w:rsid w:val="00891BB8"/>
    <w:rsid w:val="008930EC"/>
    <w:rsid w:val="00894B90"/>
    <w:rsid w:val="0089664A"/>
    <w:rsid w:val="008A1461"/>
    <w:rsid w:val="008A2DB2"/>
    <w:rsid w:val="008A4C00"/>
    <w:rsid w:val="008A67B2"/>
    <w:rsid w:val="008B09F7"/>
    <w:rsid w:val="008B11A9"/>
    <w:rsid w:val="008B5799"/>
    <w:rsid w:val="008B63F9"/>
    <w:rsid w:val="008B6A31"/>
    <w:rsid w:val="008B7D5F"/>
    <w:rsid w:val="008C06BE"/>
    <w:rsid w:val="008C16A2"/>
    <w:rsid w:val="008C4CEB"/>
    <w:rsid w:val="008C53B2"/>
    <w:rsid w:val="008C583D"/>
    <w:rsid w:val="008C5E2C"/>
    <w:rsid w:val="008C6DC2"/>
    <w:rsid w:val="008C79A4"/>
    <w:rsid w:val="008D32A6"/>
    <w:rsid w:val="008D3E1D"/>
    <w:rsid w:val="008D6F06"/>
    <w:rsid w:val="008E0C9E"/>
    <w:rsid w:val="008E3B6F"/>
    <w:rsid w:val="008E5DE7"/>
    <w:rsid w:val="008F0FBC"/>
    <w:rsid w:val="009100D8"/>
    <w:rsid w:val="00910C04"/>
    <w:rsid w:val="0091163A"/>
    <w:rsid w:val="00915144"/>
    <w:rsid w:val="0091651F"/>
    <w:rsid w:val="009201E0"/>
    <w:rsid w:val="00922FAE"/>
    <w:rsid w:val="00924ACB"/>
    <w:rsid w:val="00924D6A"/>
    <w:rsid w:val="009306B6"/>
    <w:rsid w:val="00931071"/>
    <w:rsid w:val="0093482B"/>
    <w:rsid w:val="00935073"/>
    <w:rsid w:val="0093706A"/>
    <w:rsid w:val="0093713B"/>
    <w:rsid w:val="00937849"/>
    <w:rsid w:val="00937DE5"/>
    <w:rsid w:val="0094081A"/>
    <w:rsid w:val="00941107"/>
    <w:rsid w:val="00941B15"/>
    <w:rsid w:val="00942ABE"/>
    <w:rsid w:val="00943790"/>
    <w:rsid w:val="00943F91"/>
    <w:rsid w:val="00945187"/>
    <w:rsid w:val="00945466"/>
    <w:rsid w:val="009466E4"/>
    <w:rsid w:val="00947D96"/>
    <w:rsid w:val="009518F6"/>
    <w:rsid w:val="00961427"/>
    <w:rsid w:val="009616CF"/>
    <w:rsid w:val="009638F4"/>
    <w:rsid w:val="00965268"/>
    <w:rsid w:val="009658FC"/>
    <w:rsid w:val="00965939"/>
    <w:rsid w:val="009712EF"/>
    <w:rsid w:val="00972B2B"/>
    <w:rsid w:val="00973251"/>
    <w:rsid w:val="00974A26"/>
    <w:rsid w:val="0097640F"/>
    <w:rsid w:val="0098208F"/>
    <w:rsid w:val="00982DA6"/>
    <w:rsid w:val="00983957"/>
    <w:rsid w:val="00986610"/>
    <w:rsid w:val="00987685"/>
    <w:rsid w:val="009903D2"/>
    <w:rsid w:val="00990BC2"/>
    <w:rsid w:val="00993570"/>
    <w:rsid w:val="00993DCF"/>
    <w:rsid w:val="0099749A"/>
    <w:rsid w:val="009A0ED6"/>
    <w:rsid w:val="009A1889"/>
    <w:rsid w:val="009A3E2B"/>
    <w:rsid w:val="009A671F"/>
    <w:rsid w:val="009B1897"/>
    <w:rsid w:val="009B20F6"/>
    <w:rsid w:val="009B49B9"/>
    <w:rsid w:val="009B6219"/>
    <w:rsid w:val="009C24CC"/>
    <w:rsid w:val="009C3249"/>
    <w:rsid w:val="009C42D9"/>
    <w:rsid w:val="009C6F48"/>
    <w:rsid w:val="009D0BEC"/>
    <w:rsid w:val="009D66F6"/>
    <w:rsid w:val="009D702C"/>
    <w:rsid w:val="009E0134"/>
    <w:rsid w:val="009E0E00"/>
    <w:rsid w:val="009E1E6B"/>
    <w:rsid w:val="009E4158"/>
    <w:rsid w:val="009E70B4"/>
    <w:rsid w:val="009E7D8B"/>
    <w:rsid w:val="009F0358"/>
    <w:rsid w:val="009F084C"/>
    <w:rsid w:val="009F1BB0"/>
    <w:rsid w:val="009F3821"/>
    <w:rsid w:val="009F474B"/>
    <w:rsid w:val="009F68D3"/>
    <w:rsid w:val="009F730A"/>
    <w:rsid w:val="00A00480"/>
    <w:rsid w:val="00A02FDD"/>
    <w:rsid w:val="00A038AF"/>
    <w:rsid w:val="00A041DA"/>
    <w:rsid w:val="00A04D9C"/>
    <w:rsid w:val="00A07F95"/>
    <w:rsid w:val="00A1100A"/>
    <w:rsid w:val="00A1147E"/>
    <w:rsid w:val="00A125AB"/>
    <w:rsid w:val="00A13D80"/>
    <w:rsid w:val="00A13FAD"/>
    <w:rsid w:val="00A14D12"/>
    <w:rsid w:val="00A156BD"/>
    <w:rsid w:val="00A15AA6"/>
    <w:rsid w:val="00A16221"/>
    <w:rsid w:val="00A22440"/>
    <w:rsid w:val="00A23309"/>
    <w:rsid w:val="00A234E6"/>
    <w:rsid w:val="00A24365"/>
    <w:rsid w:val="00A2437B"/>
    <w:rsid w:val="00A25514"/>
    <w:rsid w:val="00A2593A"/>
    <w:rsid w:val="00A26B02"/>
    <w:rsid w:val="00A27D53"/>
    <w:rsid w:val="00A30E33"/>
    <w:rsid w:val="00A31A54"/>
    <w:rsid w:val="00A31F8A"/>
    <w:rsid w:val="00A32A33"/>
    <w:rsid w:val="00A3495A"/>
    <w:rsid w:val="00A36D97"/>
    <w:rsid w:val="00A371A2"/>
    <w:rsid w:val="00A45CE3"/>
    <w:rsid w:val="00A461B9"/>
    <w:rsid w:val="00A47629"/>
    <w:rsid w:val="00A477A4"/>
    <w:rsid w:val="00A510E6"/>
    <w:rsid w:val="00A52D8E"/>
    <w:rsid w:val="00A532E1"/>
    <w:rsid w:val="00A53D0A"/>
    <w:rsid w:val="00A57411"/>
    <w:rsid w:val="00A57524"/>
    <w:rsid w:val="00A60030"/>
    <w:rsid w:val="00A6163F"/>
    <w:rsid w:val="00A626A0"/>
    <w:rsid w:val="00A62A6C"/>
    <w:rsid w:val="00A630ED"/>
    <w:rsid w:val="00A63803"/>
    <w:rsid w:val="00A663DB"/>
    <w:rsid w:val="00A66C70"/>
    <w:rsid w:val="00A70AE6"/>
    <w:rsid w:val="00A71046"/>
    <w:rsid w:val="00A72D64"/>
    <w:rsid w:val="00A731E2"/>
    <w:rsid w:val="00A736EF"/>
    <w:rsid w:val="00A74832"/>
    <w:rsid w:val="00A74E18"/>
    <w:rsid w:val="00A76CCF"/>
    <w:rsid w:val="00A77F4A"/>
    <w:rsid w:val="00A84A19"/>
    <w:rsid w:val="00A85E88"/>
    <w:rsid w:val="00A861ED"/>
    <w:rsid w:val="00A862D6"/>
    <w:rsid w:val="00A86B50"/>
    <w:rsid w:val="00A86E54"/>
    <w:rsid w:val="00A87A9C"/>
    <w:rsid w:val="00A91E20"/>
    <w:rsid w:val="00A974EB"/>
    <w:rsid w:val="00AA201D"/>
    <w:rsid w:val="00AA28E0"/>
    <w:rsid w:val="00AA3A7E"/>
    <w:rsid w:val="00AA62A2"/>
    <w:rsid w:val="00AA69D1"/>
    <w:rsid w:val="00AA6A5E"/>
    <w:rsid w:val="00AB00A1"/>
    <w:rsid w:val="00AB0C11"/>
    <w:rsid w:val="00AB3181"/>
    <w:rsid w:val="00AB4212"/>
    <w:rsid w:val="00AB4D9F"/>
    <w:rsid w:val="00AB5731"/>
    <w:rsid w:val="00AB6F0C"/>
    <w:rsid w:val="00AC10D4"/>
    <w:rsid w:val="00AC4BBB"/>
    <w:rsid w:val="00AC6735"/>
    <w:rsid w:val="00AC782A"/>
    <w:rsid w:val="00AD0849"/>
    <w:rsid w:val="00AD228A"/>
    <w:rsid w:val="00AD2CA0"/>
    <w:rsid w:val="00AD2D20"/>
    <w:rsid w:val="00AD3CB9"/>
    <w:rsid w:val="00AE0BEF"/>
    <w:rsid w:val="00AE4B6A"/>
    <w:rsid w:val="00AE63F5"/>
    <w:rsid w:val="00AF02A9"/>
    <w:rsid w:val="00AF16ED"/>
    <w:rsid w:val="00AF2D83"/>
    <w:rsid w:val="00AF51CB"/>
    <w:rsid w:val="00AF6ED0"/>
    <w:rsid w:val="00B00A15"/>
    <w:rsid w:val="00B00FDF"/>
    <w:rsid w:val="00B04E52"/>
    <w:rsid w:val="00B04EC6"/>
    <w:rsid w:val="00B05AC1"/>
    <w:rsid w:val="00B072F5"/>
    <w:rsid w:val="00B07D09"/>
    <w:rsid w:val="00B13077"/>
    <w:rsid w:val="00B136DC"/>
    <w:rsid w:val="00B152CF"/>
    <w:rsid w:val="00B15ECD"/>
    <w:rsid w:val="00B16D95"/>
    <w:rsid w:val="00B17B8A"/>
    <w:rsid w:val="00B17C54"/>
    <w:rsid w:val="00B2166A"/>
    <w:rsid w:val="00B25FBA"/>
    <w:rsid w:val="00B2606B"/>
    <w:rsid w:val="00B271E4"/>
    <w:rsid w:val="00B30BAB"/>
    <w:rsid w:val="00B319CF"/>
    <w:rsid w:val="00B34EFD"/>
    <w:rsid w:val="00B35BFB"/>
    <w:rsid w:val="00B35D93"/>
    <w:rsid w:val="00B367D4"/>
    <w:rsid w:val="00B368E2"/>
    <w:rsid w:val="00B41B6A"/>
    <w:rsid w:val="00B41DDE"/>
    <w:rsid w:val="00B43F3C"/>
    <w:rsid w:val="00B44524"/>
    <w:rsid w:val="00B508B7"/>
    <w:rsid w:val="00B55384"/>
    <w:rsid w:val="00B61950"/>
    <w:rsid w:val="00B61DE7"/>
    <w:rsid w:val="00B707D7"/>
    <w:rsid w:val="00B7135C"/>
    <w:rsid w:val="00B74F21"/>
    <w:rsid w:val="00B764AA"/>
    <w:rsid w:val="00B767CC"/>
    <w:rsid w:val="00B81DC0"/>
    <w:rsid w:val="00B84CB4"/>
    <w:rsid w:val="00B853EE"/>
    <w:rsid w:val="00B85A0E"/>
    <w:rsid w:val="00B92CA5"/>
    <w:rsid w:val="00B93AC5"/>
    <w:rsid w:val="00BA1343"/>
    <w:rsid w:val="00BA18D3"/>
    <w:rsid w:val="00BA3076"/>
    <w:rsid w:val="00BA3943"/>
    <w:rsid w:val="00BA6DBD"/>
    <w:rsid w:val="00BB0134"/>
    <w:rsid w:val="00BB056A"/>
    <w:rsid w:val="00BB0D74"/>
    <w:rsid w:val="00BB1047"/>
    <w:rsid w:val="00BB2BEF"/>
    <w:rsid w:val="00BB2E60"/>
    <w:rsid w:val="00BB39D4"/>
    <w:rsid w:val="00BB4DA1"/>
    <w:rsid w:val="00BB56D0"/>
    <w:rsid w:val="00BB5B61"/>
    <w:rsid w:val="00BB7154"/>
    <w:rsid w:val="00BC04B8"/>
    <w:rsid w:val="00BC2078"/>
    <w:rsid w:val="00BC6B2A"/>
    <w:rsid w:val="00BD42A3"/>
    <w:rsid w:val="00BD4E54"/>
    <w:rsid w:val="00BD5663"/>
    <w:rsid w:val="00BD730C"/>
    <w:rsid w:val="00BD74E4"/>
    <w:rsid w:val="00BE0714"/>
    <w:rsid w:val="00BE36D4"/>
    <w:rsid w:val="00BE6468"/>
    <w:rsid w:val="00BE69B5"/>
    <w:rsid w:val="00BF0ACF"/>
    <w:rsid w:val="00BF2207"/>
    <w:rsid w:val="00BF51C7"/>
    <w:rsid w:val="00BF5E55"/>
    <w:rsid w:val="00BF6572"/>
    <w:rsid w:val="00C001BB"/>
    <w:rsid w:val="00C0373D"/>
    <w:rsid w:val="00C07D73"/>
    <w:rsid w:val="00C23D52"/>
    <w:rsid w:val="00C25D08"/>
    <w:rsid w:val="00C26574"/>
    <w:rsid w:val="00C26D32"/>
    <w:rsid w:val="00C26E86"/>
    <w:rsid w:val="00C311AD"/>
    <w:rsid w:val="00C31AEB"/>
    <w:rsid w:val="00C31F18"/>
    <w:rsid w:val="00C33E01"/>
    <w:rsid w:val="00C349AB"/>
    <w:rsid w:val="00C363FF"/>
    <w:rsid w:val="00C408A9"/>
    <w:rsid w:val="00C43079"/>
    <w:rsid w:val="00C45297"/>
    <w:rsid w:val="00C47655"/>
    <w:rsid w:val="00C55DB4"/>
    <w:rsid w:val="00C55E6E"/>
    <w:rsid w:val="00C56CE8"/>
    <w:rsid w:val="00C571D2"/>
    <w:rsid w:val="00C61527"/>
    <w:rsid w:val="00C61D3E"/>
    <w:rsid w:val="00C6434B"/>
    <w:rsid w:val="00C7020C"/>
    <w:rsid w:val="00C70707"/>
    <w:rsid w:val="00C70E9F"/>
    <w:rsid w:val="00C734C7"/>
    <w:rsid w:val="00C73DA3"/>
    <w:rsid w:val="00C7472B"/>
    <w:rsid w:val="00C7485A"/>
    <w:rsid w:val="00C75303"/>
    <w:rsid w:val="00C81E54"/>
    <w:rsid w:val="00C82073"/>
    <w:rsid w:val="00C84AA0"/>
    <w:rsid w:val="00C872AC"/>
    <w:rsid w:val="00C873B5"/>
    <w:rsid w:val="00C925DB"/>
    <w:rsid w:val="00C92823"/>
    <w:rsid w:val="00C9415B"/>
    <w:rsid w:val="00C94E74"/>
    <w:rsid w:val="00CA044D"/>
    <w:rsid w:val="00CA7870"/>
    <w:rsid w:val="00CB1AB7"/>
    <w:rsid w:val="00CB2A49"/>
    <w:rsid w:val="00CB2EEC"/>
    <w:rsid w:val="00CB620E"/>
    <w:rsid w:val="00CC2B74"/>
    <w:rsid w:val="00CD514D"/>
    <w:rsid w:val="00CD70A1"/>
    <w:rsid w:val="00CD7D21"/>
    <w:rsid w:val="00CE4373"/>
    <w:rsid w:val="00CE6AA9"/>
    <w:rsid w:val="00CF1938"/>
    <w:rsid w:val="00CF3B33"/>
    <w:rsid w:val="00CF4721"/>
    <w:rsid w:val="00CF59A1"/>
    <w:rsid w:val="00CF78F2"/>
    <w:rsid w:val="00CF7DBF"/>
    <w:rsid w:val="00D037FE"/>
    <w:rsid w:val="00D04FE4"/>
    <w:rsid w:val="00D059BB"/>
    <w:rsid w:val="00D06C2E"/>
    <w:rsid w:val="00D0768C"/>
    <w:rsid w:val="00D07697"/>
    <w:rsid w:val="00D154C9"/>
    <w:rsid w:val="00D15D44"/>
    <w:rsid w:val="00D20072"/>
    <w:rsid w:val="00D23CD8"/>
    <w:rsid w:val="00D245B9"/>
    <w:rsid w:val="00D2572B"/>
    <w:rsid w:val="00D30F0B"/>
    <w:rsid w:val="00D31169"/>
    <w:rsid w:val="00D32530"/>
    <w:rsid w:val="00D326ED"/>
    <w:rsid w:val="00D338CA"/>
    <w:rsid w:val="00D3520B"/>
    <w:rsid w:val="00D37FDD"/>
    <w:rsid w:val="00D409B5"/>
    <w:rsid w:val="00D450D7"/>
    <w:rsid w:val="00D45627"/>
    <w:rsid w:val="00D46538"/>
    <w:rsid w:val="00D50EC6"/>
    <w:rsid w:val="00D52AA4"/>
    <w:rsid w:val="00D54CEE"/>
    <w:rsid w:val="00D56204"/>
    <w:rsid w:val="00D56F38"/>
    <w:rsid w:val="00D60B57"/>
    <w:rsid w:val="00D60F3B"/>
    <w:rsid w:val="00D64694"/>
    <w:rsid w:val="00D655E1"/>
    <w:rsid w:val="00D65D2B"/>
    <w:rsid w:val="00D670AF"/>
    <w:rsid w:val="00D71157"/>
    <w:rsid w:val="00D731B0"/>
    <w:rsid w:val="00D771A2"/>
    <w:rsid w:val="00D82B5B"/>
    <w:rsid w:val="00D837EE"/>
    <w:rsid w:val="00D83912"/>
    <w:rsid w:val="00D91FBE"/>
    <w:rsid w:val="00D92A16"/>
    <w:rsid w:val="00D952C5"/>
    <w:rsid w:val="00D953C4"/>
    <w:rsid w:val="00D95D91"/>
    <w:rsid w:val="00DA0654"/>
    <w:rsid w:val="00DA117C"/>
    <w:rsid w:val="00DA199E"/>
    <w:rsid w:val="00DA2688"/>
    <w:rsid w:val="00DA3946"/>
    <w:rsid w:val="00DA3C5A"/>
    <w:rsid w:val="00DA681B"/>
    <w:rsid w:val="00DB00E3"/>
    <w:rsid w:val="00DB1F7F"/>
    <w:rsid w:val="00DB216C"/>
    <w:rsid w:val="00DB7C67"/>
    <w:rsid w:val="00DC1C20"/>
    <w:rsid w:val="00DC1F1C"/>
    <w:rsid w:val="00DC61A5"/>
    <w:rsid w:val="00DD3C73"/>
    <w:rsid w:val="00DD43E0"/>
    <w:rsid w:val="00DD608D"/>
    <w:rsid w:val="00DD60C7"/>
    <w:rsid w:val="00DD62B8"/>
    <w:rsid w:val="00DD65FF"/>
    <w:rsid w:val="00DD6C99"/>
    <w:rsid w:val="00DD7297"/>
    <w:rsid w:val="00DE454B"/>
    <w:rsid w:val="00DE5151"/>
    <w:rsid w:val="00DE61E8"/>
    <w:rsid w:val="00DE6D9F"/>
    <w:rsid w:val="00DE747F"/>
    <w:rsid w:val="00DF015B"/>
    <w:rsid w:val="00DF3391"/>
    <w:rsid w:val="00DF53A0"/>
    <w:rsid w:val="00DF7D99"/>
    <w:rsid w:val="00E026EB"/>
    <w:rsid w:val="00E049B6"/>
    <w:rsid w:val="00E05316"/>
    <w:rsid w:val="00E05BE4"/>
    <w:rsid w:val="00E05E63"/>
    <w:rsid w:val="00E05F01"/>
    <w:rsid w:val="00E11B42"/>
    <w:rsid w:val="00E13524"/>
    <w:rsid w:val="00E14053"/>
    <w:rsid w:val="00E142A4"/>
    <w:rsid w:val="00E15FAE"/>
    <w:rsid w:val="00E16512"/>
    <w:rsid w:val="00E20353"/>
    <w:rsid w:val="00E20988"/>
    <w:rsid w:val="00E2151D"/>
    <w:rsid w:val="00E26BFA"/>
    <w:rsid w:val="00E30B09"/>
    <w:rsid w:val="00E30F68"/>
    <w:rsid w:val="00E32458"/>
    <w:rsid w:val="00E33978"/>
    <w:rsid w:val="00E35651"/>
    <w:rsid w:val="00E36706"/>
    <w:rsid w:val="00E402EA"/>
    <w:rsid w:val="00E4398A"/>
    <w:rsid w:val="00E455F0"/>
    <w:rsid w:val="00E462BA"/>
    <w:rsid w:val="00E502A2"/>
    <w:rsid w:val="00E509C2"/>
    <w:rsid w:val="00E52706"/>
    <w:rsid w:val="00E52918"/>
    <w:rsid w:val="00E544AE"/>
    <w:rsid w:val="00E57580"/>
    <w:rsid w:val="00E60028"/>
    <w:rsid w:val="00E62DE1"/>
    <w:rsid w:val="00E62F84"/>
    <w:rsid w:val="00E633E9"/>
    <w:rsid w:val="00E634AB"/>
    <w:rsid w:val="00E63C08"/>
    <w:rsid w:val="00E654A5"/>
    <w:rsid w:val="00E66877"/>
    <w:rsid w:val="00E67CB5"/>
    <w:rsid w:val="00E67DD4"/>
    <w:rsid w:val="00E726DB"/>
    <w:rsid w:val="00E76972"/>
    <w:rsid w:val="00E816AD"/>
    <w:rsid w:val="00E83158"/>
    <w:rsid w:val="00E84835"/>
    <w:rsid w:val="00E84BF7"/>
    <w:rsid w:val="00E86169"/>
    <w:rsid w:val="00E86AF2"/>
    <w:rsid w:val="00E900FE"/>
    <w:rsid w:val="00E90D44"/>
    <w:rsid w:val="00E910EE"/>
    <w:rsid w:val="00E91FCB"/>
    <w:rsid w:val="00E92040"/>
    <w:rsid w:val="00E92784"/>
    <w:rsid w:val="00E93E9F"/>
    <w:rsid w:val="00E94D7D"/>
    <w:rsid w:val="00EA1D5D"/>
    <w:rsid w:val="00EA2048"/>
    <w:rsid w:val="00EA44D6"/>
    <w:rsid w:val="00EA7D2D"/>
    <w:rsid w:val="00EB622D"/>
    <w:rsid w:val="00EB6EC3"/>
    <w:rsid w:val="00EB7C25"/>
    <w:rsid w:val="00EB7E17"/>
    <w:rsid w:val="00EC0AA3"/>
    <w:rsid w:val="00EC0BA7"/>
    <w:rsid w:val="00EC0BC9"/>
    <w:rsid w:val="00EC10BC"/>
    <w:rsid w:val="00EC5DBA"/>
    <w:rsid w:val="00EC7B8B"/>
    <w:rsid w:val="00ED1085"/>
    <w:rsid w:val="00ED26D6"/>
    <w:rsid w:val="00ED31A0"/>
    <w:rsid w:val="00ED6F5F"/>
    <w:rsid w:val="00EE1FC9"/>
    <w:rsid w:val="00EE241D"/>
    <w:rsid w:val="00EE51BB"/>
    <w:rsid w:val="00EF14F9"/>
    <w:rsid w:val="00EF17F8"/>
    <w:rsid w:val="00EF1F16"/>
    <w:rsid w:val="00EF24AF"/>
    <w:rsid w:val="00EF2946"/>
    <w:rsid w:val="00EF3345"/>
    <w:rsid w:val="00EF447A"/>
    <w:rsid w:val="00EF6446"/>
    <w:rsid w:val="00F012C6"/>
    <w:rsid w:val="00F02C8A"/>
    <w:rsid w:val="00F02CD5"/>
    <w:rsid w:val="00F04928"/>
    <w:rsid w:val="00F11A1A"/>
    <w:rsid w:val="00F12328"/>
    <w:rsid w:val="00F12698"/>
    <w:rsid w:val="00F128EF"/>
    <w:rsid w:val="00F12EE4"/>
    <w:rsid w:val="00F13F45"/>
    <w:rsid w:val="00F14AE6"/>
    <w:rsid w:val="00F20101"/>
    <w:rsid w:val="00F214DA"/>
    <w:rsid w:val="00F247DC"/>
    <w:rsid w:val="00F26E30"/>
    <w:rsid w:val="00F30A77"/>
    <w:rsid w:val="00F3236F"/>
    <w:rsid w:val="00F36FEA"/>
    <w:rsid w:val="00F37B31"/>
    <w:rsid w:val="00F4342F"/>
    <w:rsid w:val="00F45A83"/>
    <w:rsid w:val="00F467C6"/>
    <w:rsid w:val="00F50F5E"/>
    <w:rsid w:val="00F51136"/>
    <w:rsid w:val="00F5142E"/>
    <w:rsid w:val="00F52F9F"/>
    <w:rsid w:val="00F5330B"/>
    <w:rsid w:val="00F538FD"/>
    <w:rsid w:val="00F55444"/>
    <w:rsid w:val="00F56C2E"/>
    <w:rsid w:val="00F574DF"/>
    <w:rsid w:val="00F57510"/>
    <w:rsid w:val="00F60290"/>
    <w:rsid w:val="00F60884"/>
    <w:rsid w:val="00F63708"/>
    <w:rsid w:val="00F6584B"/>
    <w:rsid w:val="00F66C5A"/>
    <w:rsid w:val="00F66DCC"/>
    <w:rsid w:val="00F674D1"/>
    <w:rsid w:val="00F679FE"/>
    <w:rsid w:val="00F71016"/>
    <w:rsid w:val="00F72543"/>
    <w:rsid w:val="00F75217"/>
    <w:rsid w:val="00F760E8"/>
    <w:rsid w:val="00F76E53"/>
    <w:rsid w:val="00F8147A"/>
    <w:rsid w:val="00F8158A"/>
    <w:rsid w:val="00F83BC0"/>
    <w:rsid w:val="00F8774A"/>
    <w:rsid w:val="00F904D4"/>
    <w:rsid w:val="00F922F1"/>
    <w:rsid w:val="00F93D5B"/>
    <w:rsid w:val="00F94087"/>
    <w:rsid w:val="00F95ADD"/>
    <w:rsid w:val="00F96851"/>
    <w:rsid w:val="00F97867"/>
    <w:rsid w:val="00F97ADD"/>
    <w:rsid w:val="00FA03C7"/>
    <w:rsid w:val="00FA1211"/>
    <w:rsid w:val="00FA2ADD"/>
    <w:rsid w:val="00FA2FC4"/>
    <w:rsid w:val="00FA55AA"/>
    <w:rsid w:val="00FA6BB6"/>
    <w:rsid w:val="00FB1DBC"/>
    <w:rsid w:val="00FB3F1C"/>
    <w:rsid w:val="00FB44E4"/>
    <w:rsid w:val="00FB4CD3"/>
    <w:rsid w:val="00FB5DA4"/>
    <w:rsid w:val="00FB73D0"/>
    <w:rsid w:val="00FC0D9B"/>
    <w:rsid w:val="00FC134E"/>
    <w:rsid w:val="00FC1889"/>
    <w:rsid w:val="00FC3232"/>
    <w:rsid w:val="00FC3D25"/>
    <w:rsid w:val="00FC724F"/>
    <w:rsid w:val="00FC76BA"/>
    <w:rsid w:val="00FC76EC"/>
    <w:rsid w:val="00FD162A"/>
    <w:rsid w:val="00FD5EAF"/>
    <w:rsid w:val="00FD6244"/>
    <w:rsid w:val="00FD7B4A"/>
    <w:rsid w:val="00FE1E18"/>
    <w:rsid w:val="00FE2020"/>
    <w:rsid w:val="00FE69CA"/>
    <w:rsid w:val="00FF430B"/>
    <w:rsid w:val="00FF49F1"/>
    <w:rsid w:val="00FF7773"/>
    <w:rsid w:val="00FF7E7F"/>
    <w:rsid w:val="2FFF5C59"/>
    <w:rsid w:val="3CF4895B"/>
    <w:rsid w:val="47FB1848"/>
    <w:rsid w:val="57DF0558"/>
    <w:rsid w:val="5D3B7605"/>
    <w:rsid w:val="5FCFCEC1"/>
    <w:rsid w:val="5FD7249D"/>
    <w:rsid w:val="653B0B4E"/>
    <w:rsid w:val="77F42044"/>
    <w:rsid w:val="7B4CE9BC"/>
    <w:rsid w:val="7C77B2CA"/>
    <w:rsid w:val="7DF7E899"/>
    <w:rsid w:val="7DF7F69E"/>
    <w:rsid w:val="7EFF1CA6"/>
    <w:rsid w:val="7FFEC027"/>
    <w:rsid w:val="A6F43840"/>
    <w:rsid w:val="A73FBF3F"/>
    <w:rsid w:val="AFB1BADF"/>
    <w:rsid w:val="B3FDE1AE"/>
    <w:rsid w:val="B9EF850B"/>
    <w:rsid w:val="BB95A7E9"/>
    <w:rsid w:val="BF76207B"/>
    <w:rsid w:val="BFFFCC41"/>
    <w:rsid w:val="D1FC9E78"/>
    <w:rsid w:val="D6BFD351"/>
    <w:rsid w:val="D7CF354A"/>
    <w:rsid w:val="D7EB47F8"/>
    <w:rsid w:val="EB3EC645"/>
    <w:rsid w:val="FDFBD6DE"/>
    <w:rsid w:val="FEE5E5E9"/>
    <w:rsid w:val="FFF708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uiPriority w:val="0"/>
    <w:pPr>
      <w:jc w:val="left"/>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0"/>
    <w:rPr>
      <w:b/>
      <w:bCs/>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unhideWhenUsed/>
    <w:uiPriority w:val="0"/>
    <w:rPr>
      <w:color w:val="0000FF" w:themeColor="hyperlink"/>
      <w:u w:val="single"/>
      <w14:textFill>
        <w14:solidFill>
          <w14:schemeClr w14:val="hlink"/>
        </w14:solidFill>
      </w14:textFill>
    </w:rPr>
  </w:style>
  <w:style w:type="character" w:styleId="11">
    <w:name w:val="annotation reference"/>
    <w:basedOn w:val="9"/>
    <w:semiHidden/>
    <w:unhideWhenUsed/>
    <w:uiPriority w:val="0"/>
    <w:rPr>
      <w:sz w:val="21"/>
      <w:szCs w:val="21"/>
    </w:rPr>
  </w:style>
  <w:style w:type="paragraph" w:customStyle="1" w:styleId="12">
    <w:name w:val="列出段落1"/>
    <w:basedOn w:val="1"/>
    <w:uiPriority w:val="0"/>
    <w:pPr>
      <w:ind w:firstLine="420" w:firstLineChars="200"/>
    </w:pPr>
    <w:rPr>
      <w:rFonts w:ascii="Calibri" w:hAnsi="Calibri"/>
      <w:szCs w:val="22"/>
    </w:rPr>
  </w:style>
  <w:style w:type="paragraph" w:customStyle="1" w:styleId="13">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文字 Char"/>
    <w:basedOn w:val="9"/>
    <w:link w:val="2"/>
    <w:semiHidden/>
    <w:uiPriority w:val="0"/>
    <w:rPr>
      <w:kern w:val="2"/>
      <w:sz w:val="21"/>
      <w:szCs w:val="24"/>
    </w:rPr>
  </w:style>
  <w:style w:type="character" w:customStyle="1" w:styleId="16">
    <w:name w:val="批注主题 Char"/>
    <w:basedOn w:val="15"/>
    <w:link w:val="6"/>
    <w:semiHidden/>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3</Pages>
  <Words>418</Words>
  <Characters>2388</Characters>
  <Lines>19</Lines>
  <Paragraphs>5</Paragraphs>
  <TotalTime>175</TotalTime>
  <ScaleCrop>false</ScaleCrop>
  <LinksUpToDate>false</LinksUpToDate>
  <CharactersWithSpaces>2801</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2020-07-21T01:50:00Z</dcterms:created>
  <dc:creator>微软用户</dc:creator>
  <cp:lastModifiedBy>郑璐</cp:lastModifiedBy>
  <cp:lastPrinted>2018-07-18T00:04:00Z</cp:lastPrinted>
  <dcterms:modified xsi:type="dcterms:W3CDTF">2022-06-13T09:42:25Z</dcterms:modified>
  <dc:title>证券代码：                               证券简称：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